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4374" w14:textId="77777777" w:rsidR="00B83AC3" w:rsidRDefault="008165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ENERGY MANAGEMENT SUBCOMMITTEE</w:t>
      </w:r>
    </w:p>
    <w:p w14:paraId="725C966C" w14:textId="77777777" w:rsidR="00B83AC3" w:rsidRDefault="008165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A Subcommittee of TC 7.6 Building Energy Performance</w:t>
      </w:r>
    </w:p>
    <w:p w14:paraId="6503B2E8" w14:textId="77777777" w:rsidR="00B83AC3" w:rsidRDefault="00B83A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9F349EB" w14:textId="00241D92" w:rsidR="00B83AC3" w:rsidRDefault="0081650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202</w:t>
      </w:r>
      <w:r w:rsidR="007F54D3">
        <w:rPr>
          <w:color w:val="000000"/>
        </w:rPr>
        <w:t>3</w:t>
      </w:r>
      <w:r w:rsidR="004E3F7B">
        <w:rPr>
          <w:color w:val="000000"/>
        </w:rPr>
        <w:t xml:space="preserve"> Winter</w:t>
      </w:r>
      <w:r>
        <w:rPr>
          <w:color w:val="000000"/>
        </w:rPr>
        <w:t xml:space="preserve"> Conference (</w:t>
      </w:r>
      <w:r w:rsidR="007F54D3">
        <w:rPr>
          <w:color w:val="000000"/>
        </w:rPr>
        <w:t>Atlanta/</w:t>
      </w:r>
      <w:r w:rsidR="007D4A63">
        <w:rPr>
          <w:color w:val="000000"/>
        </w:rPr>
        <w:t>Hybrid</w:t>
      </w:r>
      <w:r>
        <w:rPr>
          <w:color w:val="000000"/>
        </w:rPr>
        <w:t>)</w:t>
      </w:r>
    </w:p>
    <w:p w14:paraId="77AAF33A" w14:textId="77777777" w:rsidR="007F54D3" w:rsidRDefault="007F54D3" w:rsidP="007F54D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Join Zoom Meeting</w:t>
      </w:r>
    </w:p>
    <w:p w14:paraId="7441FEF0" w14:textId="77777777" w:rsidR="007F54D3" w:rsidRDefault="007F54D3" w:rsidP="007F54D3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https://ucincinnati.zoom.us/j/99545615215?pwd=ZHdkZi9kUlNDQWoyRXJmNW1WTjZOQT09</w:t>
        </w:r>
      </w:hyperlink>
    </w:p>
    <w:p w14:paraId="22DE3B98" w14:textId="77777777" w:rsidR="007F54D3" w:rsidRDefault="007F54D3" w:rsidP="007F54D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2A0FA2E" w14:textId="77777777" w:rsidR="007F54D3" w:rsidRDefault="007F54D3" w:rsidP="007F54D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995 4561 5215</w:t>
      </w:r>
    </w:p>
    <w:p w14:paraId="34AA86E3" w14:textId="77777777" w:rsidR="007F54D3" w:rsidRDefault="007F54D3" w:rsidP="007F54D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Passcode: 337686</w:t>
      </w:r>
    </w:p>
    <w:p w14:paraId="5CFA6112" w14:textId="2260DCC8" w:rsidR="00B83AC3" w:rsidRDefault="007D4A63" w:rsidP="007D4A63">
      <w:pPr>
        <w:pStyle w:val="NormalWeb"/>
        <w:rPr>
          <w:color w:val="000000"/>
        </w:rPr>
      </w:pPr>
      <w:r>
        <w:rPr>
          <w:color w:val="000000"/>
        </w:rPr>
        <w:t>4:30</w:t>
      </w:r>
      <w:r w:rsidR="00816501">
        <w:rPr>
          <w:color w:val="000000"/>
        </w:rPr>
        <w:t xml:space="preserve"> </w:t>
      </w:r>
      <w:r>
        <w:rPr>
          <w:color w:val="000000"/>
        </w:rPr>
        <w:t>PM</w:t>
      </w:r>
      <w:r w:rsidR="00816501">
        <w:rPr>
          <w:color w:val="000000"/>
        </w:rPr>
        <w:t xml:space="preserve"> </w:t>
      </w:r>
      <w:r w:rsidR="007F54D3">
        <w:rPr>
          <w:color w:val="000000"/>
        </w:rPr>
        <w:t>E</w:t>
      </w:r>
      <w:r>
        <w:rPr>
          <w:color w:val="000000"/>
        </w:rPr>
        <w:t>ST</w:t>
      </w:r>
      <w:r w:rsidR="00816501">
        <w:rPr>
          <w:color w:val="000000"/>
        </w:rPr>
        <w:t xml:space="preserve"> to </w:t>
      </w:r>
      <w:r>
        <w:rPr>
          <w:color w:val="000000"/>
        </w:rPr>
        <w:t>5:30</w:t>
      </w:r>
      <w:r w:rsidR="00816501">
        <w:rPr>
          <w:color w:val="000000"/>
        </w:rPr>
        <w:t xml:space="preserve"> </w:t>
      </w:r>
      <w:r w:rsidR="007F54D3">
        <w:rPr>
          <w:color w:val="000000"/>
        </w:rPr>
        <w:t>E</w:t>
      </w:r>
      <w:r>
        <w:rPr>
          <w:color w:val="000000"/>
        </w:rPr>
        <w:t>ST</w:t>
      </w:r>
      <w:r w:rsidR="00816501">
        <w:rPr>
          <w:color w:val="000000"/>
        </w:rPr>
        <w:t xml:space="preserve"> </w:t>
      </w:r>
    </w:p>
    <w:p w14:paraId="0C6AD9DE" w14:textId="77777777" w:rsidR="00B83AC3" w:rsidRDefault="00B83A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34C375" w14:textId="0143BB4F" w:rsidR="00B83AC3" w:rsidRDefault="007D4A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Agenda</w:t>
      </w:r>
    </w:p>
    <w:p w14:paraId="553B46FB" w14:textId="77777777" w:rsidR="00B83AC3" w:rsidRDefault="00B83A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1EDF2D" w14:textId="638F1397" w:rsidR="00B83AC3" w:rsidRPr="00777559" w:rsidRDefault="00816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Introductions</w:t>
      </w:r>
    </w:p>
    <w:p w14:paraId="5A65F4E6" w14:textId="71EE056E" w:rsidR="00B83AC3" w:rsidRDefault="00B83AC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17448D91" w14:textId="77777777" w:rsidR="00B83AC3" w:rsidRDefault="00B83AC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08B3E3CD" w14:textId="722EAEFC" w:rsidR="00A564A4" w:rsidRPr="00A564A4" w:rsidRDefault="00A56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A564A4">
        <w:rPr>
          <w:b/>
          <w:color w:val="000000"/>
        </w:rPr>
        <w:t>Subcommittee Goal and Objective</w:t>
      </w:r>
      <w:r>
        <w:rPr>
          <w:b/>
          <w:color w:val="000000"/>
        </w:rPr>
        <w:t xml:space="preserve"> Review</w:t>
      </w:r>
    </w:p>
    <w:p w14:paraId="309E6820" w14:textId="037F417C" w:rsidR="00A564A4" w:rsidRDefault="00A564A4" w:rsidP="00A564A4">
      <w:pPr>
        <w:pStyle w:val="NoSpacing"/>
        <w:ind w:left="1080"/>
        <w:jc w:val="both"/>
      </w:pPr>
    </w:p>
    <w:p w14:paraId="43FFEEBD" w14:textId="73702F60" w:rsidR="00B35A1B" w:rsidRDefault="00B35A1B" w:rsidP="00A564A4">
      <w:pPr>
        <w:pStyle w:val="NoSpacing"/>
        <w:ind w:left="1080"/>
        <w:jc w:val="both"/>
      </w:pPr>
      <w:r>
        <w:t>The goal and objective of the proposed subcommittee group is reviewed with the group.</w:t>
      </w:r>
    </w:p>
    <w:p w14:paraId="66439BF0" w14:textId="77777777" w:rsidR="00B35A1B" w:rsidRDefault="00B35A1B" w:rsidP="00A564A4">
      <w:pPr>
        <w:pStyle w:val="NoSpacing"/>
        <w:ind w:left="1080"/>
        <w:jc w:val="both"/>
      </w:pPr>
    </w:p>
    <w:p w14:paraId="684C5268" w14:textId="47D4250E" w:rsidR="00A564A4" w:rsidRDefault="00A564A4" w:rsidP="00A564A4">
      <w:pPr>
        <w:pStyle w:val="NoSpacing"/>
        <w:ind w:left="1080"/>
        <w:jc w:val="both"/>
        <w:rPr>
          <w:rFonts w:ascii="Calibri" w:hAnsi="Calibri"/>
          <w:iCs/>
          <w:color w:val="000000"/>
          <w:shd w:val="clear" w:color="auto" w:fill="FFFFFF"/>
        </w:rPr>
      </w:pPr>
      <w:r>
        <w:t xml:space="preserve">The updated plan of the Technical Committee (TC) 7.6 Energy Management Subcommittee is intended to align with ASRHAE Strategic Plan (2019-2024).  One of three goals of ASHRAE strategic plan is to position ASHRAE as an Essential Knowledge Resource for a Sustainable, High-Performance Built Environment.  </w:t>
      </w:r>
    </w:p>
    <w:p w14:paraId="530244C9" w14:textId="77777777" w:rsidR="00A564A4" w:rsidRDefault="00A564A4" w:rsidP="00A564A4">
      <w:pPr>
        <w:pStyle w:val="NoSpacing"/>
        <w:ind w:left="1080"/>
        <w:jc w:val="both"/>
        <w:rPr>
          <w:rFonts w:ascii="Calibri" w:hAnsi="Calibri"/>
          <w:iCs/>
          <w:color w:val="000000"/>
          <w:shd w:val="clear" w:color="auto" w:fill="FFFFFF"/>
        </w:rPr>
      </w:pPr>
    </w:p>
    <w:p w14:paraId="1915A72B" w14:textId="77777777" w:rsidR="00A564A4" w:rsidRPr="00A564A4" w:rsidRDefault="00A564A4" w:rsidP="00A564A4">
      <w:pPr>
        <w:pStyle w:val="NoSpacing"/>
        <w:ind w:left="1080"/>
        <w:jc w:val="both"/>
        <w:rPr>
          <w:b/>
        </w:rPr>
      </w:pPr>
      <w:r>
        <w:t xml:space="preserve">The Energy Management Subcommittee from TC 7.6 is directly connected with sustainable and high-performance built environment.  </w:t>
      </w:r>
      <w:r w:rsidRPr="00A564A4">
        <w:rPr>
          <w:b/>
        </w:rPr>
        <w:t xml:space="preserve">Our goal as a professional group is to position this subcommittee as an essential knowledge source for energy and water management.  </w:t>
      </w:r>
    </w:p>
    <w:p w14:paraId="6EBACF6C" w14:textId="77777777" w:rsidR="00A564A4" w:rsidRDefault="00A564A4" w:rsidP="00A564A4">
      <w:pPr>
        <w:pStyle w:val="NoSpacing"/>
        <w:ind w:left="1080"/>
        <w:jc w:val="both"/>
        <w:rPr>
          <w:rFonts w:ascii="Calibri" w:hAnsi="Calibri"/>
          <w:iCs/>
          <w:color w:val="000000"/>
          <w:shd w:val="clear" w:color="auto" w:fill="FFFFFF"/>
        </w:rPr>
      </w:pPr>
    </w:p>
    <w:p w14:paraId="794FC671" w14:textId="42496081" w:rsidR="007D4A63" w:rsidRDefault="007D4A63" w:rsidP="007F54D3">
      <w:pPr>
        <w:pStyle w:val="NoSpacing"/>
        <w:jc w:val="both"/>
        <w:rPr>
          <w:rFonts w:ascii="Calibri" w:hAnsi="Calibri"/>
          <w:iCs/>
          <w:color w:val="000000"/>
          <w:shd w:val="clear" w:color="auto" w:fill="FFFFFF"/>
        </w:rPr>
      </w:pPr>
      <w:r>
        <w:rPr>
          <w:rFonts w:ascii="Calibri" w:hAnsi="Calibri"/>
          <w:iCs/>
          <w:color w:val="000000"/>
          <w:shd w:val="clear" w:color="auto" w:fill="FFFFFF"/>
        </w:rPr>
        <w:tab/>
      </w:r>
    </w:p>
    <w:p w14:paraId="576A2D7C" w14:textId="18258804" w:rsidR="00687E06" w:rsidRDefault="007F54D3" w:rsidP="007D4A63">
      <w:pPr>
        <w:pStyle w:val="NoSpacing"/>
        <w:jc w:val="both"/>
        <w:rPr>
          <w:rFonts w:ascii="Calibri" w:hAnsi="Calibri"/>
          <w:iCs/>
          <w:color w:val="000000"/>
          <w:shd w:val="clear" w:color="auto" w:fill="FFFFFF"/>
        </w:rPr>
      </w:pPr>
      <w:r>
        <w:rPr>
          <w:rFonts w:ascii="Calibri" w:hAnsi="Calibri"/>
          <w:iCs/>
          <w:color w:val="000000"/>
          <w:shd w:val="clear" w:color="auto" w:fill="FFFFFF"/>
        </w:rPr>
        <w:t xml:space="preserve">Seminar sponsored in Atlanta conference. </w:t>
      </w:r>
    </w:p>
    <w:p w14:paraId="395BB770" w14:textId="787187D3" w:rsidR="00687E06" w:rsidRDefault="00687E06" w:rsidP="007D4A63">
      <w:pPr>
        <w:pStyle w:val="NoSpacing"/>
        <w:jc w:val="both"/>
        <w:rPr>
          <w:rFonts w:ascii="Calibri" w:hAnsi="Calibri"/>
          <w:iCs/>
          <w:color w:val="000000"/>
          <w:shd w:val="clear" w:color="auto" w:fill="FFFFFF"/>
        </w:rPr>
      </w:pPr>
    </w:p>
    <w:p w14:paraId="162C6839" w14:textId="1533421B" w:rsidR="00687E06" w:rsidRPr="007D4A63" w:rsidRDefault="007F54D3" w:rsidP="007D4A63">
      <w:pPr>
        <w:pStyle w:val="NoSpacing"/>
        <w:jc w:val="both"/>
        <w:rPr>
          <w:rFonts w:ascii="Calibri" w:hAnsi="Calibri"/>
          <w:iCs/>
          <w:color w:val="00000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E45C42F" wp14:editId="1D8CEC13">
            <wp:extent cx="4500563" cy="2872475"/>
            <wp:effectExtent l="0" t="0" r="0" b="4445"/>
            <wp:docPr id="7" name="Picture 7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600" cy="28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DB9AF" w14:textId="77777777" w:rsidR="00A564A4" w:rsidRPr="00A564A4" w:rsidRDefault="00A564A4" w:rsidP="007D4A6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6DA48AD3" w14:textId="77777777" w:rsidR="00A564A4" w:rsidRPr="00A564A4" w:rsidRDefault="00A564A4" w:rsidP="007D4A6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3BF7C14D" w14:textId="7029EFAF" w:rsidR="00B83AC3" w:rsidRDefault="00146E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Items to discuss</w:t>
      </w:r>
    </w:p>
    <w:p w14:paraId="2ABF87B5" w14:textId="77777777" w:rsidR="00B83AC3" w:rsidRDefault="00B83AC3">
      <w:pPr>
        <w:ind w:left="1080"/>
      </w:pPr>
    </w:p>
    <w:p w14:paraId="10C5F157" w14:textId="468793CF" w:rsidR="00B83AC3" w:rsidRDefault="007D4A63">
      <w:pPr>
        <w:ind w:left="1080"/>
      </w:pPr>
      <w:r>
        <w:rPr>
          <w:b/>
        </w:rPr>
        <w:t>E. Yang</w:t>
      </w:r>
      <w:r w:rsidR="00816501">
        <w:rPr>
          <w:b/>
        </w:rPr>
        <w:t>:</w:t>
      </w:r>
      <w:r w:rsidR="00816501">
        <w:t xml:space="preserve"> Energy </w:t>
      </w:r>
      <w:r w:rsidR="00A564A4">
        <w:t xml:space="preserve">Management ALI </w:t>
      </w:r>
      <w:r w:rsidR="00964E19">
        <w:t>Course (</w:t>
      </w:r>
      <w:r w:rsidR="00A564A4">
        <w:t>3</w:t>
      </w:r>
      <w:r>
        <w:t xml:space="preserve"> hour</w:t>
      </w:r>
      <w:r w:rsidR="00816501">
        <w:t>)</w:t>
      </w:r>
      <w:r>
        <w:t xml:space="preserve"> </w:t>
      </w:r>
      <w:r w:rsidR="007F54D3">
        <w:t xml:space="preserve">Atlanta </w:t>
      </w:r>
      <w:r>
        <w:t xml:space="preserve">updates: </w:t>
      </w:r>
      <w:r w:rsidR="00C7193D">
        <w:t>33 registered in the class. D</w:t>
      </w:r>
      <w:r>
        <w:t>eliver</w:t>
      </w:r>
      <w:r w:rsidR="00C7193D">
        <w:t xml:space="preserve">ed on Saturday.  </w:t>
      </w:r>
      <w:r w:rsidR="00A564A4">
        <w:t xml:space="preserve"> </w:t>
      </w:r>
      <w:r w:rsidR="00C7193D">
        <w:t>Good feedback so far.</w:t>
      </w:r>
    </w:p>
    <w:p w14:paraId="0B826EC2" w14:textId="77777777" w:rsidR="00B35A1B" w:rsidRDefault="00B35A1B">
      <w:pPr>
        <w:ind w:left="1080"/>
      </w:pPr>
    </w:p>
    <w:p w14:paraId="6B7F1059" w14:textId="04A32929" w:rsidR="00090775" w:rsidRDefault="00090775">
      <w:pPr>
        <w:ind w:left="1080"/>
      </w:pPr>
    </w:p>
    <w:p w14:paraId="414B4AF6" w14:textId="1D94773B" w:rsidR="001C55AC" w:rsidRDefault="00090775" w:rsidP="001C55AC">
      <w:pPr>
        <w:ind w:left="1080"/>
      </w:pPr>
      <w:r>
        <w:rPr>
          <w:b/>
        </w:rPr>
        <w:t xml:space="preserve">E. Yang: </w:t>
      </w:r>
      <w:r w:rsidRPr="00090775">
        <w:t>call for seminars</w:t>
      </w:r>
      <w:r>
        <w:t xml:space="preserve"> on Energy &amp; Water Management case study</w:t>
      </w:r>
      <w:r w:rsidR="00687E06">
        <w:t xml:space="preserve">, ASHRAE g36, grid connected efficient buildings </w:t>
      </w:r>
      <w:r w:rsidR="000B7CA5">
        <w:t xml:space="preserve"> </w:t>
      </w:r>
    </w:p>
    <w:p w14:paraId="3792808A" w14:textId="77777777" w:rsidR="00090775" w:rsidRDefault="00090775">
      <w:pPr>
        <w:ind w:left="1080"/>
        <w:rPr>
          <w:b/>
        </w:rPr>
      </w:pPr>
    </w:p>
    <w:p w14:paraId="14C84E21" w14:textId="2E37EFB3" w:rsidR="00B83AC3" w:rsidRDefault="00816501">
      <w:pPr>
        <w:ind w:left="1080"/>
      </w:pPr>
      <w:r>
        <w:rPr>
          <w:b/>
        </w:rPr>
        <w:t>J. Constantinide:</w:t>
      </w:r>
      <w:r>
        <w:t xml:space="preserve"> Chapter 36 of the Applications Handbook</w:t>
      </w:r>
      <w:r w:rsidR="0095700F">
        <w:t xml:space="preserve"> (Energy and Water Use) </w:t>
      </w:r>
      <w:r w:rsidR="000B7CA5">
        <w:t>seek</w:t>
      </w:r>
      <w:r w:rsidR="00EB220F">
        <w:t>s</w:t>
      </w:r>
      <w:r w:rsidR="000B7CA5">
        <w:t xml:space="preserve"> </w:t>
      </w:r>
      <w:r w:rsidR="0095700F">
        <w:t>volunteers to help/e</w:t>
      </w:r>
      <w:r w:rsidR="000B7CA5">
        <w:t>dit</w:t>
      </w:r>
      <w:r w:rsidR="0095700F">
        <w:t xml:space="preserve">. </w:t>
      </w:r>
      <w:r>
        <w:t xml:space="preserve"> </w:t>
      </w:r>
      <w:r w:rsidR="00EB220F">
        <w:t xml:space="preserve"> Chapter 37 of HVAC Handbook seeks volunteers to help/edit. </w:t>
      </w:r>
    </w:p>
    <w:p w14:paraId="045E3A90" w14:textId="2DF96C26" w:rsidR="000B7CA5" w:rsidRDefault="000B7CA5">
      <w:pPr>
        <w:ind w:left="1080"/>
        <w:rPr>
          <w:b/>
        </w:rPr>
      </w:pPr>
    </w:p>
    <w:p w14:paraId="54B6AC5E" w14:textId="5350F335" w:rsidR="000B7CA5" w:rsidRDefault="000B7CA5">
      <w:pPr>
        <w:ind w:left="1080"/>
      </w:pPr>
      <w:r>
        <w:rPr>
          <w:b/>
        </w:rPr>
        <w:t xml:space="preserve">Research: </w:t>
      </w:r>
      <w:r>
        <w:t xml:space="preserve">any potential research project </w:t>
      </w:r>
      <w:r w:rsidR="00057D00">
        <w:t xml:space="preserve">addressing </w:t>
      </w:r>
      <w:r w:rsidR="00057D00" w:rsidRPr="00717E8A">
        <w:rPr>
          <w:iCs/>
          <w:color w:val="000000"/>
          <w:shd w:val="clear" w:color="auto" w:fill="FFFFFF"/>
        </w:rPr>
        <w:t>water-energy nexus</w:t>
      </w:r>
      <w:r w:rsidR="00057D00">
        <w:t xml:space="preserve">? Possibly </w:t>
      </w:r>
      <w:r>
        <w:t>collaborating with other TCs?</w:t>
      </w:r>
    </w:p>
    <w:p w14:paraId="2A51AF7F" w14:textId="62C9427E" w:rsidR="000B7CA5" w:rsidRDefault="004C671C">
      <w:pPr>
        <w:ind w:left="1080"/>
      </w:pPr>
      <w:r>
        <w:t>Mike</w:t>
      </w:r>
      <w:r w:rsidR="001C55AC">
        <w:t xml:space="preserve"> shared the</w:t>
      </w:r>
      <w:r>
        <w:t xml:space="preserve"> 2007 version research report of Energy Index Development for Benchmarking Water and Wastewater Utilities (Steven Carlson).  Eric will follow up with Steve and discuss any ideas of water-energy nexus. </w:t>
      </w:r>
    </w:p>
    <w:p w14:paraId="636A1251" w14:textId="77777777" w:rsidR="00B83AC3" w:rsidRDefault="00B83A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9EAA60" w14:textId="1761EC8D" w:rsidR="00B83AC3" w:rsidRDefault="008165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Programs </w:t>
      </w:r>
    </w:p>
    <w:p w14:paraId="4A9B7020" w14:textId="3DB51906" w:rsidR="004C671C" w:rsidRDefault="004C671C" w:rsidP="000E1F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Propose Energy Management </w:t>
      </w:r>
      <w:r w:rsidR="00C7193D">
        <w:t xml:space="preserve">lesson learned/best </w:t>
      </w:r>
      <w:r w:rsidR="00A17564">
        <w:t>practice</w:t>
      </w:r>
      <w:r>
        <w:t xml:space="preserve"> track </w:t>
      </w:r>
    </w:p>
    <w:p w14:paraId="2B741057" w14:textId="77777777" w:rsidR="004C671C" w:rsidRDefault="004C671C" w:rsidP="00A17564">
      <w:pPr>
        <w:pBdr>
          <w:top w:val="nil"/>
          <w:left w:val="nil"/>
          <w:bottom w:val="nil"/>
          <w:right w:val="nil"/>
          <w:between w:val="nil"/>
        </w:pBdr>
        <w:ind w:left="2880"/>
      </w:pPr>
    </w:p>
    <w:p w14:paraId="254506A1" w14:textId="22BCA5E8" w:rsidR="00B83AC3" w:rsidRDefault="008165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Research </w:t>
      </w:r>
    </w:p>
    <w:p w14:paraId="641C09C1" w14:textId="66E07DE8" w:rsidR="00B83AC3" w:rsidRDefault="008165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M. Bhandari</w:t>
      </w:r>
      <w:r w:rsidR="00EA357A">
        <w:t xml:space="preserve"> </w:t>
      </w:r>
    </w:p>
    <w:p w14:paraId="4D4B1163" w14:textId="06C12323" w:rsidR="00EA357A" w:rsidRDefault="00EA35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Water-energy nexus</w:t>
      </w:r>
    </w:p>
    <w:p w14:paraId="3A6DAE5C" w14:textId="1C6F5FB6" w:rsidR="00FC65E3" w:rsidRDefault="00FC65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Trending </w:t>
      </w:r>
      <w:r w:rsidR="00AB7A61">
        <w:t xml:space="preserve">process &amp; </w:t>
      </w:r>
      <w:r w:rsidR="00C7193D">
        <w:t>standardize.</w:t>
      </w:r>
    </w:p>
    <w:p w14:paraId="12DA7212" w14:textId="74759FCC" w:rsidR="00C7193D" w:rsidRDefault="00C7193D" w:rsidP="000B7C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Education:</w:t>
      </w:r>
    </w:p>
    <w:p w14:paraId="55679D13" w14:textId="77777777" w:rsidR="00C7193D" w:rsidRDefault="00C7193D" w:rsidP="00C719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Good trending examples</w:t>
      </w:r>
    </w:p>
    <w:p w14:paraId="5F803B16" w14:textId="3DD772C7" w:rsidR="00C7193D" w:rsidRDefault="00C7193D" w:rsidP="00C719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Collaborate with current energy audit working group and others</w:t>
      </w:r>
    </w:p>
    <w:p w14:paraId="7222093A" w14:textId="5FF3463D" w:rsidR="000B7CA5" w:rsidRDefault="000B7CA5" w:rsidP="000B7C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Handbook </w:t>
      </w:r>
    </w:p>
    <w:p w14:paraId="1EC8EFAE" w14:textId="22CADF51" w:rsidR="000B7CA5" w:rsidRDefault="00C7193D" w:rsidP="000B7C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Ali</w:t>
      </w:r>
    </w:p>
    <w:p w14:paraId="156FA57B" w14:textId="77777777" w:rsidR="000B7CA5" w:rsidRDefault="000B7CA5" w:rsidP="000B7CA5">
      <w:pPr>
        <w:pBdr>
          <w:top w:val="nil"/>
          <w:left w:val="nil"/>
          <w:bottom w:val="nil"/>
          <w:right w:val="nil"/>
          <w:between w:val="nil"/>
        </w:pBdr>
        <w:ind w:left="2880"/>
      </w:pPr>
    </w:p>
    <w:p w14:paraId="33B3C8BA" w14:textId="77777777" w:rsidR="00B83AC3" w:rsidRDefault="00B83AC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132858F2" w14:textId="2E860C60" w:rsidR="00B83AC3" w:rsidRDefault="00A17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highlight w:val="white"/>
        </w:rPr>
        <w:t>Other</w:t>
      </w:r>
      <w:r w:rsidR="00816501">
        <w:rPr>
          <w:b/>
          <w:color w:val="000000"/>
          <w:highlight w:val="white"/>
        </w:rPr>
        <w:t xml:space="preserve"> </w:t>
      </w:r>
      <w:r>
        <w:rPr>
          <w:b/>
          <w:color w:val="000000"/>
        </w:rPr>
        <w:t>Updates</w:t>
      </w:r>
    </w:p>
    <w:p w14:paraId="0DE8F96F" w14:textId="191781B8" w:rsidR="00B83AC3" w:rsidRDefault="00687E06" w:rsidP="004C671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TC2.8 –liaison</w:t>
      </w:r>
      <w:r w:rsidR="0047289A">
        <w:rPr>
          <w:color w:val="000000"/>
        </w:rPr>
        <w:t xml:space="preserve"> </w:t>
      </w:r>
    </w:p>
    <w:p w14:paraId="1F4AEF39" w14:textId="35D5A0C7" w:rsidR="00687E06" w:rsidRDefault="00687E06" w:rsidP="004C671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TC7.3 - liaison</w:t>
      </w:r>
    </w:p>
    <w:p w14:paraId="5879858B" w14:textId="77777777" w:rsidR="00687E06" w:rsidRDefault="00EA357A" w:rsidP="004C671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ASHRAE 189 –Scott W. will be liaison</w:t>
      </w:r>
    </w:p>
    <w:p w14:paraId="3FC33536" w14:textId="018B62DF" w:rsidR="00EA357A" w:rsidRDefault="00687E06" w:rsidP="004C671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ASHRAE Guideline 36 liaison </w:t>
      </w:r>
      <w:r w:rsidR="00A17564">
        <w:rPr>
          <w:color w:val="000000"/>
        </w:rPr>
        <w:t>- Greg</w:t>
      </w:r>
      <w:r>
        <w:rPr>
          <w:color w:val="000000"/>
        </w:rPr>
        <w:t xml:space="preserve"> </w:t>
      </w:r>
      <w:r w:rsidR="00EA357A">
        <w:rPr>
          <w:color w:val="000000"/>
        </w:rPr>
        <w:t xml:space="preserve"> </w:t>
      </w:r>
    </w:p>
    <w:p w14:paraId="02ECC3BE" w14:textId="77777777" w:rsidR="00B83AC3" w:rsidRDefault="00816501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  </w:t>
      </w:r>
    </w:p>
    <w:p w14:paraId="279BA52C" w14:textId="77777777" w:rsidR="00A17564" w:rsidRDefault="00A17564" w:rsidP="00A17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highlight w:val="white"/>
        </w:rPr>
        <w:t>New Business</w:t>
      </w:r>
    </w:p>
    <w:p w14:paraId="1739E67E" w14:textId="0D12A32A" w:rsidR="00B83AC3" w:rsidRDefault="00B83AC3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14:paraId="234C39F4" w14:textId="77777777" w:rsidR="00B83AC3" w:rsidRDefault="008165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highlight w:val="white"/>
        </w:rPr>
        <w:t>Adjournment</w:t>
      </w:r>
    </w:p>
    <w:p w14:paraId="3E5818BD" w14:textId="77777777" w:rsidR="00B83AC3" w:rsidRDefault="00B83A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</w:p>
    <w:p w14:paraId="54B9CEFE" w14:textId="77777777" w:rsidR="00B83AC3" w:rsidRDefault="00B83A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</w:p>
    <w:sectPr w:rsidR="00B83AC3">
      <w:headerReference w:type="default" r:id="rId9"/>
      <w:footerReference w:type="default" r:id="rId10"/>
      <w:pgSz w:w="12240" w:h="15840"/>
      <w:pgMar w:top="2250" w:right="1440" w:bottom="126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6E6B" w14:textId="77777777" w:rsidR="00C83B60" w:rsidRDefault="00C83B60">
      <w:r>
        <w:separator/>
      </w:r>
    </w:p>
  </w:endnote>
  <w:endnote w:type="continuationSeparator" w:id="0">
    <w:p w14:paraId="2175D94E" w14:textId="77777777" w:rsidR="00C83B60" w:rsidRDefault="00C8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7DC7" w14:textId="77777777" w:rsidR="00B83AC3" w:rsidRDefault="008165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The Technical Committee does not act for Society.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47C5" w14:textId="77777777" w:rsidR="00C83B60" w:rsidRDefault="00C83B60">
      <w:r>
        <w:separator/>
      </w:r>
    </w:p>
  </w:footnote>
  <w:footnote w:type="continuationSeparator" w:id="0">
    <w:p w14:paraId="78C21318" w14:textId="77777777" w:rsidR="00C83B60" w:rsidRDefault="00C8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B11" w14:textId="77777777" w:rsidR="00B83AC3" w:rsidRDefault="008165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184596F5" wp14:editId="40BCE110">
          <wp:extent cx="4378960" cy="83375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8960" cy="833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912F529" wp14:editId="5753F145">
              <wp:simplePos x="0" y="0"/>
              <wp:positionH relativeFrom="column">
                <wp:posOffset>1</wp:posOffset>
              </wp:positionH>
              <wp:positionV relativeFrom="paragraph">
                <wp:posOffset>914400</wp:posOffset>
              </wp:positionV>
              <wp:extent cx="7143750" cy="2228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78888" y="3673320"/>
                        <a:ext cx="7134225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5BD9EE" w14:textId="44AB0BC3" w:rsidR="00B83AC3" w:rsidRDefault="00816501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0"/>
                            </w:rPr>
                            <w:t xml:space="preserve">1791 Tullie Circle NE • Atlanta, Georgia 30329-2305 • Tel 404-636-8400 • Fax 404-321-5478 •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F7F7F"/>
                              <w:sz w:val="20"/>
                            </w:rPr>
                            <w:t xml:space="preserve"> </w:t>
                          </w:r>
                        </w:p>
                        <w:p w14:paraId="40C44E96" w14:textId="77777777" w:rsidR="00B83AC3" w:rsidRDefault="00B83AC3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12F529" id="Rectangle 1" o:spid="_x0000_s1026" style="position:absolute;left:0;text-align:left;margin-left:0;margin-top:1in;width:562.5pt;height:17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" stroked="f">
              <v:textbox inset="2.53958mm,1.2694mm,2.53958mm,1.2694mm">
                <w:txbxContent>
                  <w:p w14:paraId="4A5BD9EE" w14:textId="44AB0BC3" w:rsidR="00B83AC3" w:rsidRDefault="00816501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0"/>
                      </w:rPr>
                      <w:t xml:space="preserve">1791 Tullie Circle NE • Atlanta, Georgia 30329-2305 • Tel 404-636-8400 • Fax 404-321-5478 • </w:t>
                    </w:r>
                    <w:r>
                      <w:rPr>
                        <w:rFonts w:ascii="Arial" w:eastAsia="Arial" w:hAnsi="Arial" w:cs="Arial"/>
                        <w:color w:val="808080"/>
                        <w:sz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F7F7F"/>
                        <w:sz w:val="20"/>
                      </w:rPr>
                      <w:t xml:space="preserve"> </w:t>
                    </w:r>
                  </w:p>
                  <w:p w14:paraId="40C44E96" w14:textId="77777777" w:rsidR="00B83AC3" w:rsidRDefault="00B83AC3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29F"/>
    <w:multiLevelType w:val="multilevel"/>
    <w:tmpl w:val="ECD2E47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753089"/>
    <w:multiLevelType w:val="hybridMultilevel"/>
    <w:tmpl w:val="5E545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9938D2"/>
    <w:multiLevelType w:val="hybridMultilevel"/>
    <w:tmpl w:val="293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844E8"/>
    <w:multiLevelType w:val="multilevel"/>
    <w:tmpl w:val="7CDC900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17027591">
    <w:abstractNumId w:val="0"/>
  </w:num>
  <w:num w:numId="2" w16cid:durableId="1008674065">
    <w:abstractNumId w:val="3"/>
  </w:num>
  <w:num w:numId="3" w16cid:durableId="1971785871">
    <w:abstractNumId w:val="2"/>
  </w:num>
  <w:num w:numId="4" w16cid:durableId="936014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C3"/>
    <w:rsid w:val="00036C4C"/>
    <w:rsid w:val="00057D00"/>
    <w:rsid w:val="00090775"/>
    <w:rsid w:val="000B21D3"/>
    <w:rsid w:val="000B7CA5"/>
    <w:rsid w:val="000E1FC3"/>
    <w:rsid w:val="00146E4B"/>
    <w:rsid w:val="00161A0C"/>
    <w:rsid w:val="00182F65"/>
    <w:rsid w:val="001C55AC"/>
    <w:rsid w:val="001F5358"/>
    <w:rsid w:val="001F6D1F"/>
    <w:rsid w:val="002569D5"/>
    <w:rsid w:val="00331566"/>
    <w:rsid w:val="003B528D"/>
    <w:rsid w:val="0047289A"/>
    <w:rsid w:val="004C671C"/>
    <w:rsid w:val="004D09DE"/>
    <w:rsid w:val="004E3F7B"/>
    <w:rsid w:val="005854BA"/>
    <w:rsid w:val="00687E06"/>
    <w:rsid w:val="00777559"/>
    <w:rsid w:val="007B17EA"/>
    <w:rsid w:val="007D4A63"/>
    <w:rsid w:val="007F54D3"/>
    <w:rsid w:val="00804A1C"/>
    <w:rsid w:val="00816501"/>
    <w:rsid w:val="008556FA"/>
    <w:rsid w:val="00860989"/>
    <w:rsid w:val="0095700F"/>
    <w:rsid w:val="00964E19"/>
    <w:rsid w:val="009D258F"/>
    <w:rsid w:val="00A17564"/>
    <w:rsid w:val="00A564A4"/>
    <w:rsid w:val="00AB7A61"/>
    <w:rsid w:val="00B35A1B"/>
    <w:rsid w:val="00B83AC3"/>
    <w:rsid w:val="00BE2974"/>
    <w:rsid w:val="00C7193D"/>
    <w:rsid w:val="00C83B60"/>
    <w:rsid w:val="00C86CC2"/>
    <w:rsid w:val="00CA7C15"/>
    <w:rsid w:val="00D80607"/>
    <w:rsid w:val="00DE6C96"/>
    <w:rsid w:val="00E23443"/>
    <w:rsid w:val="00E25AC2"/>
    <w:rsid w:val="00EA357A"/>
    <w:rsid w:val="00EB220F"/>
    <w:rsid w:val="00F61FAF"/>
    <w:rsid w:val="00F80D65"/>
    <w:rsid w:val="00FC65E3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6E3CB"/>
  <w15:docId w15:val="{09C599A0-BB1D-4F55-AAC4-E4B53A1B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paragraph" w:styleId="NoSpacing">
    <w:name w:val="No Spacing"/>
    <w:uiPriority w:val="1"/>
    <w:qFormat/>
    <w:rsid w:val="00A564A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D09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6E4B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6E4B"/>
  </w:style>
  <w:style w:type="paragraph" w:styleId="Footer">
    <w:name w:val="footer"/>
    <w:basedOn w:val="Normal"/>
    <w:link w:val="FooterChar"/>
    <w:uiPriority w:val="99"/>
    <w:unhideWhenUsed/>
    <w:rsid w:val="00146E4B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6E4B"/>
  </w:style>
  <w:style w:type="paragraph" w:styleId="BalloonText">
    <w:name w:val="Balloon Text"/>
    <w:basedOn w:val="Normal"/>
    <w:link w:val="BalloonTextChar"/>
    <w:uiPriority w:val="99"/>
    <w:semiHidden/>
    <w:unhideWhenUsed/>
    <w:rsid w:val="00DE6C96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4A63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cincinnati.zoom.us/j/99545615215?pwd=ZHdkZi9kUlNDQWoyRXJmNW1WTjZO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Yang</dc:creator>
  <cp:keywords/>
  <dc:description/>
  <cp:lastModifiedBy>Eric Yang</cp:lastModifiedBy>
  <cp:revision>4</cp:revision>
  <cp:lastPrinted>2021-01-14T18:09:00Z</cp:lastPrinted>
  <dcterms:created xsi:type="dcterms:W3CDTF">2023-02-06T19:50:00Z</dcterms:created>
  <dcterms:modified xsi:type="dcterms:W3CDTF">2023-02-06T19:57:00Z</dcterms:modified>
</cp:coreProperties>
</file>