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rsidTr="00C73AB9">
        <w:trPr>
          <w:jc w:val="center"/>
        </w:trPr>
        <w:tc>
          <w:tcPr>
            <w:tcW w:w="9738" w:type="dxa"/>
          </w:tcPr>
          <w:p w:rsidR="0012530B" w:rsidRPr="00455F4A" w:rsidRDefault="001A5E09" w:rsidP="00C73AB9">
            <w:pPr>
              <w:pStyle w:val="Default"/>
              <w:spacing w:before="120" w:after="120"/>
              <w:ind w:left="346"/>
              <w:rPr>
                <w:rFonts w:ascii="Calibri" w:hAnsi="Calibri" w:cs="Calibri"/>
                <w:b/>
                <w:sz w:val="56"/>
              </w:rPr>
            </w:pPr>
            <w:r>
              <w:rPr>
                <w:rFonts w:cs="Calibri"/>
                <w:noProof/>
                <w:color w:val="221E1F"/>
              </w:rPr>
              <w:drawing>
                <wp:anchor distT="0" distB="0" distL="114300" distR="114300" simplePos="0" relativeHeight="251657728" behindDoc="0" locked="0" layoutInCell="1" allowOverlap="1">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3A1757">
              <w:rPr>
                <w:rFonts w:ascii="Calibri" w:hAnsi="Calibri" w:cs="Calibri"/>
                <w:b/>
                <w:sz w:val="56"/>
              </w:rPr>
              <w:t>Minutes</w:t>
            </w:r>
            <w:bookmarkStart w:id="0" w:name="_GoBack"/>
            <w:bookmarkEnd w:id="0"/>
          </w:p>
          <w:p w:rsidR="00800E0B" w:rsidRPr="00A6249D" w:rsidRDefault="00800E0B" w:rsidP="00C73AB9">
            <w:pPr>
              <w:ind w:left="351"/>
              <w:rPr>
                <w:rFonts w:ascii="Calibri" w:hAnsi="Calibri" w:cs="Calibri"/>
                <w:b/>
                <w:sz w:val="22"/>
                <w:szCs w:val="22"/>
              </w:rPr>
            </w:pPr>
            <w:r w:rsidRPr="00A6249D">
              <w:rPr>
                <w:rFonts w:ascii="Calibri" w:hAnsi="Calibri" w:cs="Calibri"/>
                <w:b/>
                <w:sz w:val="22"/>
                <w:szCs w:val="22"/>
              </w:rPr>
              <w:t>TC 7.6 Building Energy Performance</w:t>
            </w:r>
          </w:p>
          <w:p w:rsidR="0012530B" w:rsidRPr="00A6249D" w:rsidRDefault="00800E0B" w:rsidP="00C73AB9">
            <w:pPr>
              <w:ind w:left="351"/>
              <w:rPr>
                <w:rFonts w:ascii="Calibri" w:hAnsi="Calibri" w:cs="Calibri"/>
                <w:b/>
                <w:sz w:val="22"/>
                <w:szCs w:val="22"/>
              </w:rPr>
            </w:pPr>
            <w:r w:rsidRPr="00A6249D">
              <w:rPr>
                <w:rFonts w:ascii="Calibri" w:hAnsi="Calibri" w:cs="Calibri"/>
                <w:b/>
                <w:sz w:val="22"/>
                <w:szCs w:val="22"/>
              </w:rPr>
              <w:t>Handbook</w:t>
            </w:r>
            <w:r w:rsidR="0012530B" w:rsidRPr="00A6249D">
              <w:rPr>
                <w:rFonts w:ascii="Calibri" w:hAnsi="Calibri" w:cs="Calibri"/>
                <w:b/>
                <w:sz w:val="22"/>
                <w:szCs w:val="22"/>
              </w:rPr>
              <w:t xml:space="preserve"> Sub-committee</w:t>
            </w:r>
          </w:p>
          <w:p w:rsidR="0012530B" w:rsidRPr="00A6249D" w:rsidRDefault="0012530B" w:rsidP="00C73AB9">
            <w:pPr>
              <w:ind w:left="351"/>
              <w:rPr>
                <w:rFonts w:ascii="Calibri" w:hAnsi="Calibri" w:cs="Calibri"/>
                <w:b/>
                <w:sz w:val="22"/>
                <w:szCs w:val="22"/>
              </w:rPr>
            </w:pP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2019 Applications Handbook</w:t>
            </w: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36 – Energy Use and Management</w:t>
            </w: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41 – Building Energy Monitoring</w:t>
            </w:r>
          </w:p>
          <w:p w:rsidR="00800E0B" w:rsidRPr="00A6249D" w:rsidRDefault="00800E0B" w:rsidP="00C73AB9">
            <w:pPr>
              <w:ind w:left="351"/>
              <w:rPr>
                <w:rFonts w:ascii="Calibri" w:hAnsi="Calibri" w:cs="Calibri"/>
                <w:sz w:val="22"/>
                <w:szCs w:val="22"/>
              </w:rPr>
            </w:pPr>
          </w:p>
          <w:p w:rsidR="0012530B" w:rsidRPr="005D291F" w:rsidRDefault="00A362DB" w:rsidP="00706573">
            <w:pPr>
              <w:ind w:left="360"/>
              <w:rPr>
                <w:rFonts w:ascii="Calibri" w:hAnsi="Calibri" w:cs="Calibri"/>
                <w:sz w:val="22"/>
                <w:szCs w:val="22"/>
              </w:rPr>
            </w:pPr>
            <w:r>
              <w:rPr>
                <w:rFonts w:ascii="Calibri" w:hAnsi="Calibri" w:cs="Calibri"/>
                <w:sz w:val="22"/>
                <w:szCs w:val="22"/>
              </w:rPr>
              <w:t>Sunday, J</w:t>
            </w:r>
            <w:r w:rsidR="00C60813">
              <w:rPr>
                <w:rFonts w:ascii="Calibri" w:hAnsi="Calibri" w:cs="Calibri"/>
                <w:sz w:val="22"/>
                <w:szCs w:val="22"/>
              </w:rPr>
              <w:t>une 24, 2018</w:t>
            </w:r>
            <w:r w:rsidR="0012530B" w:rsidRPr="00A6249D">
              <w:rPr>
                <w:rFonts w:ascii="Calibri" w:hAnsi="Calibri" w:cs="Calibri"/>
                <w:sz w:val="22"/>
                <w:szCs w:val="22"/>
              </w:rPr>
              <w:t xml:space="preserve">, </w:t>
            </w:r>
            <w:r w:rsidR="00800E0B" w:rsidRPr="00A6249D">
              <w:rPr>
                <w:rFonts w:ascii="Calibri" w:hAnsi="Calibri" w:cs="Calibri"/>
                <w:sz w:val="22"/>
                <w:szCs w:val="22"/>
              </w:rPr>
              <w:t>3</w:t>
            </w:r>
            <w:r w:rsidR="0012530B" w:rsidRPr="00A6249D">
              <w:rPr>
                <w:rFonts w:ascii="Calibri" w:hAnsi="Calibri" w:cs="Calibri"/>
                <w:sz w:val="22"/>
                <w:szCs w:val="22"/>
              </w:rPr>
              <w:t>:00 pm</w:t>
            </w:r>
          </w:p>
        </w:tc>
      </w:tr>
    </w:tbl>
    <w:p w:rsidR="0012530B" w:rsidRPr="005D291F" w:rsidRDefault="0012530B" w:rsidP="0012530B">
      <w:pPr>
        <w:rPr>
          <w:rFonts w:ascii="Calibri" w:hAnsi="Calibri" w:cs="Calibri"/>
          <w:b/>
          <w:sz w:val="22"/>
          <w:szCs w:val="22"/>
        </w:rPr>
      </w:pPr>
    </w:p>
    <w:p w:rsidR="009F026B" w:rsidRPr="00F86DA7" w:rsidRDefault="009F026B" w:rsidP="009F026B">
      <w:pPr>
        <w:tabs>
          <w:tab w:val="left" w:pos="180"/>
        </w:tabs>
        <w:spacing w:after="120"/>
        <w:jc w:val="both"/>
        <w:rPr>
          <w:rFonts w:ascii="Arial" w:hAnsi="Arial" w:cs="Arial"/>
          <w:b/>
          <w:sz w:val="22"/>
          <w:szCs w:val="22"/>
        </w:rPr>
      </w:pPr>
      <w:r w:rsidRPr="00F86DA7">
        <w:rPr>
          <w:rFonts w:ascii="Arial" w:hAnsi="Arial" w:cs="Arial"/>
          <w:b/>
          <w:sz w:val="22"/>
          <w:szCs w:val="22"/>
        </w:rPr>
        <w:t>Purpose:</w:t>
      </w:r>
    </w:p>
    <w:p w:rsidR="009F026B" w:rsidRPr="00F86DA7" w:rsidRDefault="009F026B" w:rsidP="009F026B">
      <w:pPr>
        <w:tabs>
          <w:tab w:val="left" w:pos="180"/>
        </w:tabs>
        <w:spacing w:after="120"/>
        <w:jc w:val="both"/>
        <w:rPr>
          <w:rFonts w:ascii="Arial" w:hAnsi="Arial" w:cs="Arial"/>
          <w:color w:val="333333"/>
          <w:sz w:val="22"/>
          <w:szCs w:val="22"/>
        </w:rPr>
      </w:pPr>
      <w:r w:rsidRPr="00F86DA7">
        <w:rPr>
          <w:rFonts w:ascii="Arial" w:hAnsi="Arial" w:cs="Arial"/>
          <w:color w:val="333333"/>
          <w:sz w:val="22"/>
          <w:szCs w:val="22"/>
        </w:rPr>
        <w:t>TC 7.6 is concerned with the estimation, measurement, analysis, benchmarking, and management of whole building and building systems energy and water performance.</w:t>
      </w:r>
    </w:p>
    <w:p w:rsidR="009F026B" w:rsidRPr="00F86DA7" w:rsidRDefault="009F026B" w:rsidP="009F026B">
      <w:pPr>
        <w:pStyle w:val="NormalWeb"/>
        <w:shd w:val="clear" w:color="auto" w:fill="FFFFFF"/>
        <w:spacing w:line="390" w:lineRule="atLeast"/>
        <w:rPr>
          <w:rFonts w:ascii="Arial" w:hAnsi="Arial" w:cs="Arial"/>
          <w:color w:val="333333"/>
          <w:sz w:val="22"/>
          <w:szCs w:val="22"/>
        </w:rPr>
      </w:pPr>
      <w:r w:rsidRPr="00F86DA7">
        <w:rPr>
          <w:rFonts w:ascii="Arial" w:hAnsi="Arial" w:cs="Arial"/>
          <w:color w:val="333333"/>
          <w:sz w:val="22"/>
          <w:szCs w:val="22"/>
        </w:rPr>
        <w:t>TC 7.6 is responsible for the following handbook chapters in the HVAC Applications Volume:</w:t>
      </w:r>
    </w:p>
    <w:p w:rsidR="009F026B" w:rsidRPr="00F86DA7" w:rsidRDefault="009F026B" w:rsidP="00F86DA7">
      <w:pPr>
        <w:pStyle w:val="NormalWeb"/>
        <w:shd w:val="clear" w:color="auto" w:fill="FFFFFF"/>
        <w:spacing w:line="390" w:lineRule="atLeast"/>
        <w:rPr>
          <w:rFonts w:ascii="Arial" w:hAnsi="Arial" w:cs="Arial"/>
          <w:color w:val="333333"/>
          <w:sz w:val="22"/>
          <w:szCs w:val="22"/>
        </w:rPr>
      </w:pPr>
      <w:r w:rsidRPr="00F86DA7">
        <w:rPr>
          <w:rStyle w:val="Strong"/>
          <w:rFonts w:ascii="Arial" w:hAnsi="Arial" w:cs="Arial"/>
          <w:color w:val="333333"/>
          <w:sz w:val="22"/>
          <w:szCs w:val="22"/>
        </w:rPr>
        <w:t>HVAC APPLICATIONS: Energy Use and Management</w:t>
      </w:r>
      <w:r w:rsidRPr="00F86DA7">
        <w:rPr>
          <w:rFonts w:ascii="Arial" w:hAnsi="Arial" w:cs="Arial"/>
          <w:color w:val="333333"/>
          <w:sz w:val="22"/>
          <w:szCs w:val="22"/>
        </w:rPr>
        <w:br/>
        <w:t>Energy management in buildings is the control of energy use and cost while maintaining indoor environmental conditions to provide comfort and to fully meet functional needs. This chapter provides guidance on establishing an effective, ongoing energy management program, as well as information on planning and implementing energy management projects. The energy manager should understand how energy is used in the building, to manage it effectively. There are opportunities for savings by reducing the unit price of purchased energy, and by improving the efficiency and reducing the use of energy-consuming systems. Water/sewer costs and use may be included in the energy management activity. This could be called “utility management,” but “energy management” is used in this chapter.</w:t>
      </w:r>
    </w:p>
    <w:p w:rsidR="009F026B" w:rsidRDefault="009F026B" w:rsidP="00F86DA7">
      <w:pPr>
        <w:pStyle w:val="NormalWeb"/>
        <w:shd w:val="clear" w:color="auto" w:fill="FFFFFF"/>
        <w:spacing w:line="390" w:lineRule="atLeast"/>
        <w:rPr>
          <w:rFonts w:ascii="Arial" w:hAnsi="Arial" w:cs="Arial"/>
          <w:color w:val="333333"/>
          <w:sz w:val="22"/>
          <w:szCs w:val="22"/>
        </w:rPr>
      </w:pPr>
      <w:r w:rsidRPr="00F86DA7">
        <w:rPr>
          <w:rStyle w:val="Strong"/>
          <w:rFonts w:ascii="Arial" w:hAnsi="Arial" w:cs="Arial"/>
          <w:color w:val="333333"/>
          <w:sz w:val="22"/>
          <w:szCs w:val="22"/>
        </w:rPr>
        <w:t>HVAC APPLICATIONS: Building Energy Monitoring</w:t>
      </w:r>
      <w:r w:rsidRPr="00F86DA7">
        <w:rPr>
          <w:rFonts w:ascii="Arial" w:hAnsi="Arial" w:cs="Arial"/>
          <w:color w:val="333333"/>
          <w:sz w:val="22"/>
          <w:szCs w:val="22"/>
        </w:rPr>
        <w:br/>
        <w:t>This chapter provides guidelines for developing building monitoring projects that provide the necessary measured data at acceptable cost. The intended audience comprises building owners, building energy monitoring practitioners, and data end users such as energy and energy service suppliers, energy end users, building system designers, public and private research organizations, utility program managers and evaluators, equipment manufacturers, and officials who regulate residential and commercial building energy systems. A new section has been added on small projects to show how the methodology can be simplified.</w:t>
      </w:r>
    </w:p>
    <w:p w:rsidR="00F86DA7" w:rsidRPr="00F86DA7" w:rsidRDefault="00F86DA7" w:rsidP="00F86DA7">
      <w:pPr>
        <w:pStyle w:val="NormalWeb"/>
        <w:shd w:val="clear" w:color="auto" w:fill="FFFFFF"/>
        <w:spacing w:line="390" w:lineRule="atLeast"/>
        <w:rPr>
          <w:rFonts w:ascii="Arial" w:hAnsi="Arial" w:cs="Arial"/>
          <w:color w:val="333333"/>
          <w:sz w:val="22"/>
          <w:szCs w:val="22"/>
        </w:rPr>
      </w:pPr>
    </w:p>
    <w:p w:rsidR="008B7753" w:rsidRPr="00F86DA7" w:rsidRDefault="008B7753" w:rsidP="0012530B">
      <w:pPr>
        <w:tabs>
          <w:tab w:val="left" w:pos="180"/>
        </w:tabs>
        <w:spacing w:after="120"/>
        <w:jc w:val="both"/>
        <w:rPr>
          <w:rFonts w:ascii="Arial" w:hAnsi="Arial" w:cs="Arial"/>
          <w:b/>
          <w:sz w:val="22"/>
          <w:szCs w:val="22"/>
        </w:rPr>
      </w:pPr>
      <w:r w:rsidRPr="00F86DA7">
        <w:rPr>
          <w:rFonts w:ascii="Arial" w:hAnsi="Arial" w:cs="Arial"/>
          <w:b/>
          <w:sz w:val="22"/>
          <w:szCs w:val="22"/>
        </w:rPr>
        <w:lastRenderedPageBreak/>
        <w:t>Agenda</w:t>
      </w:r>
      <w:r w:rsidR="0025132F" w:rsidRPr="00F86DA7">
        <w:rPr>
          <w:rFonts w:ascii="Arial" w:hAnsi="Arial" w:cs="Arial"/>
          <w:b/>
          <w:sz w:val="22"/>
          <w:szCs w:val="22"/>
        </w:rPr>
        <w:t>:</w:t>
      </w:r>
    </w:p>
    <w:p w:rsidR="0031031B" w:rsidRPr="00F86DA7" w:rsidRDefault="0031031B" w:rsidP="0012530B">
      <w:pPr>
        <w:pStyle w:val="ListParagraph"/>
        <w:numPr>
          <w:ilvl w:val="0"/>
          <w:numId w:val="30"/>
        </w:numPr>
        <w:tabs>
          <w:tab w:val="left" w:pos="180"/>
        </w:tabs>
        <w:spacing w:after="120"/>
        <w:contextualSpacing w:val="0"/>
        <w:rPr>
          <w:rFonts w:ascii="Arial" w:hAnsi="Arial" w:cs="Arial"/>
          <w:sz w:val="22"/>
          <w:szCs w:val="22"/>
        </w:rPr>
      </w:pPr>
      <w:r w:rsidRPr="00F86DA7">
        <w:rPr>
          <w:rFonts w:ascii="Arial" w:hAnsi="Arial" w:cs="Arial"/>
          <w:sz w:val="22"/>
          <w:szCs w:val="22"/>
        </w:rPr>
        <w:t>Introductions</w:t>
      </w:r>
    </w:p>
    <w:p w:rsidR="00892C34" w:rsidRPr="00F86DA7" w:rsidRDefault="00C60813" w:rsidP="00892C34">
      <w:pPr>
        <w:pStyle w:val="ListParagraph"/>
        <w:numPr>
          <w:ilvl w:val="1"/>
          <w:numId w:val="30"/>
        </w:numPr>
        <w:tabs>
          <w:tab w:val="left" w:pos="180"/>
        </w:tabs>
        <w:spacing w:after="120"/>
        <w:contextualSpacing w:val="0"/>
        <w:rPr>
          <w:rFonts w:ascii="Arial" w:hAnsi="Arial" w:cs="Arial"/>
          <w:sz w:val="22"/>
          <w:szCs w:val="22"/>
        </w:rPr>
      </w:pPr>
      <w:r>
        <w:rPr>
          <w:rFonts w:ascii="Arial" w:hAnsi="Arial" w:cs="Arial"/>
          <w:sz w:val="22"/>
          <w:szCs w:val="22"/>
        </w:rPr>
        <w:t>2019</w:t>
      </w:r>
      <w:r w:rsidR="009F026B" w:rsidRPr="00F86DA7">
        <w:rPr>
          <w:rFonts w:ascii="Arial" w:hAnsi="Arial" w:cs="Arial"/>
          <w:sz w:val="22"/>
          <w:szCs w:val="22"/>
        </w:rPr>
        <w:t xml:space="preserve"> Applications Handbook</w:t>
      </w:r>
    </w:p>
    <w:p w:rsidR="00A6249D" w:rsidRPr="00C60813" w:rsidRDefault="00674B80" w:rsidP="00C60813">
      <w:pPr>
        <w:pStyle w:val="ListParagraph"/>
        <w:numPr>
          <w:ilvl w:val="2"/>
          <w:numId w:val="30"/>
        </w:numPr>
        <w:tabs>
          <w:tab w:val="left" w:pos="180"/>
        </w:tabs>
        <w:spacing w:after="120"/>
        <w:contextualSpacing w:val="0"/>
        <w:rPr>
          <w:rFonts w:ascii="Arial" w:hAnsi="Arial" w:cs="Arial"/>
          <w:sz w:val="22"/>
          <w:szCs w:val="22"/>
        </w:rPr>
      </w:pPr>
      <w:r w:rsidRPr="00F86DA7">
        <w:rPr>
          <w:rFonts w:ascii="Arial" w:hAnsi="Arial" w:cs="Arial"/>
          <w:sz w:val="22"/>
          <w:szCs w:val="22"/>
        </w:rPr>
        <w:t xml:space="preserve">Revised chapters 36 and 41 </w:t>
      </w:r>
      <w:r w:rsidR="00C60813">
        <w:rPr>
          <w:rFonts w:ascii="Arial" w:hAnsi="Arial" w:cs="Arial"/>
          <w:sz w:val="22"/>
          <w:szCs w:val="22"/>
        </w:rPr>
        <w:t>submitted and the TC was notified of receipt of manuscripts, so no repeat of 2015 should occur this time</w:t>
      </w:r>
    </w:p>
    <w:p w:rsidR="00A362DB" w:rsidRDefault="00A362DB" w:rsidP="00A362DB">
      <w:pPr>
        <w:pStyle w:val="ListParagraph"/>
        <w:numPr>
          <w:ilvl w:val="2"/>
          <w:numId w:val="30"/>
        </w:numPr>
        <w:rPr>
          <w:rFonts w:ascii="Arial" w:hAnsi="Arial" w:cs="Arial"/>
          <w:sz w:val="22"/>
          <w:szCs w:val="22"/>
        </w:rPr>
      </w:pPr>
      <w:r w:rsidRPr="00F86DA7">
        <w:rPr>
          <w:rFonts w:ascii="Arial" w:hAnsi="Arial" w:cs="Arial"/>
          <w:sz w:val="22"/>
          <w:szCs w:val="22"/>
        </w:rPr>
        <w:t>Next edition of the Applications Handbook will be published in 20</w:t>
      </w:r>
      <w:r w:rsidR="00C60813">
        <w:rPr>
          <w:rFonts w:ascii="Arial" w:hAnsi="Arial" w:cs="Arial"/>
          <w:sz w:val="22"/>
          <w:szCs w:val="22"/>
        </w:rPr>
        <w:t>23</w:t>
      </w:r>
    </w:p>
    <w:p w:rsidR="00C60813" w:rsidRPr="00F86DA7" w:rsidRDefault="00C60813" w:rsidP="00A362DB">
      <w:pPr>
        <w:pStyle w:val="ListParagraph"/>
        <w:numPr>
          <w:ilvl w:val="2"/>
          <w:numId w:val="30"/>
        </w:numPr>
        <w:rPr>
          <w:rFonts w:ascii="Arial" w:hAnsi="Arial" w:cs="Arial"/>
          <w:sz w:val="22"/>
          <w:szCs w:val="22"/>
        </w:rPr>
      </w:pPr>
      <w:r>
        <w:rPr>
          <w:rFonts w:ascii="Arial" w:hAnsi="Arial" w:cs="Arial"/>
          <w:sz w:val="22"/>
          <w:szCs w:val="22"/>
        </w:rPr>
        <w:t>Expanded scope of TC (if voted and approved) will likely constitute the bulk of the next round of changes, along with advancements to Building EQ, publication of Standard 211, etc.</w:t>
      </w:r>
    </w:p>
    <w:p w:rsidR="00A362DB" w:rsidRPr="00F86DA7" w:rsidRDefault="00A362DB" w:rsidP="00A362DB">
      <w:pPr>
        <w:pStyle w:val="ListParagraph"/>
        <w:tabs>
          <w:tab w:val="left" w:pos="180"/>
        </w:tabs>
        <w:spacing w:after="120"/>
        <w:ind w:left="2160"/>
        <w:contextualSpacing w:val="0"/>
        <w:rPr>
          <w:rFonts w:ascii="Arial" w:hAnsi="Arial" w:cs="Arial"/>
          <w:sz w:val="22"/>
          <w:szCs w:val="22"/>
        </w:rPr>
      </w:pPr>
    </w:p>
    <w:p w:rsidR="0031031B" w:rsidRPr="00F86DA7" w:rsidRDefault="00A6249D" w:rsidP="0012530B">
      <w:pPr>
        <w:pStyle w:val="ListParagraph"/>
        <w:numPr>
          <w:ilvl w:val="0"/>
          <w:numId w:val="30"/>
        </w:numPr>
        <w:tabs>
          <w:tab w:val="left" w:pos="180"/>
        </w:tabs>
        <w:spacing w:after="120"/>
        <w:contextualSpacing w:val="0"/>
        <w:rPr>
          <w:rFonts w:ascii="Arial" w:hAnsi="Arial" w:cs="Arial"/>
          <w:sz w:val="22"/>
          <w:szCs w:val="22"/>
        </w:rPr>
      </w:pPr>
      <w:r w:rsidRPr="00F86DA7">
        <w:rPr>
          <w:rFonts w:ascii="Arial" w:hAnsi="Arial" w:cs="Arial"/>
          <w:sz w:val="22"/>
          <w:szCs w:val="22"/>
        </w:rPr>
        <w:t>Handbook Subcommittee tasks</w:t>
      </w:r>
    </w:p>
    <w:p w:rsidR="00A362DB" w:rsidRPr="00F86DA7" w:rsidRDefault="00C60813" w:rsidP="00A6249D">
      <w:pPr>
        <w:pStyle w:val="ListParagraph"/>
        <w:widowControl/>
        <w:numPr>
          <w:ilvl w:val="2"/>
          <w:numId w:val="45"/>
        </w:numPr>
        <w:rPr>
          <w:rFonts w:ascii="Arial" w:hAnsi="Arial" w:cs="Arial"/>
          <w:sz w:val="22"/>
          <w:szCs w:val="22"/>
        </w:rPr>
      </w:pPr>
      <w:r>
        <w:rPr>
          <w:rFonts w:ascii="Arial" w:hAnsi="Arial" w:cs="Arial"/>
          <w:sz w:val="22"/>
          <w:szCs w:val="22"/>
        </w:rPr>
        <w:t>Stand by for any comments from ASHRAE Publications regarding any modifications to the manuscripts before publication that may be needed.</w:t>
      </w:r>
    </w:p>
    <w:p w:rsidR="00EF69B4" w:rsidRPr="00F86DA7" w:rsidRDefault="00EF69B4" w:rsidP="00A362DB">
      <w:pPr>
        <w:widowControl/>
        <w:rPr>
          <w:rFonts w:ascii="Arial" w:hAnsi="Arial" w:cs="Arial"/>
          <w:sz w:val="22"/>
          <w:szCs w:val="22"/>
        </w:rPr>
      </w:pPr>
    </w:p>
    <w:p w:rsidR="00EF69B4" w:rsidRPr="00F86DA7" w:rsidRDefault="00EF69B4" w:rsidP="00EF69B4">
      <w:pPr>
        <w:widowControl/>
        <w:rPr>
          <w:rFonts w:ascii="Arial" w:hAnsi="Arial" w:cs="Arial"/>
          <w:sz w:val="22"/>
          <w:szCs w:val="22"/>
        </w:rPr>
      </w:pPr>
    </w:p>
    <w:p w:rsidR="003E499C" w:rsidRDefault="0041498D" w:rsidP="007C3D0E">
      <w:pPr>
        <w:pStyle w:val="ListParagraph"/>
        <w:numPr>
          <w:ilvl w:val="0"/>
          <w:numId w:val="30"/>
        </w:numPr>
        <w:tabs>
          <w:tab w:val="left" w:pos="180"/>
        </w:tabs>
        <w:spacing w:after="120"/>
        <w:contextualSpacing w:val="0"/>
        <w:rPr>
          <w:rFonts w:ascii="Arial" w:hAnsi="Arial" w:cs="Arial"/>
          <w:sz w:val="22"/>
          <w:szCs w:val="22"/>
        </w:rPr>
      </w:pPr>
      <w:r w:rsidRPr="00F86DA7">
        <w:rPr>
          <w:rFonts w:ascii="Arial" w:hAnsi="Arial" w:cs="Arial"/>
          <w:sz w:val="22"/>
          <w:szCs w:val="22"/>
        </w:rPr>
        <w:t>New</w:t>
      </w:r>
      <w:r w:rsidR="003A1D1C" w:rsidRPr="00F86DA7">
        <w:rPr>
          <w:rFonts w:ascii="Arial" w:hAnsi="Arial" w:cs="Arial"/>
          <w:sz w:val="22"/>
          <w:szCs w:val="22"/>
        </w:rPr>
        <w:t xml:space="preserve"> </w:t>
      </w:r>
      <w:r w:rsidR="00A92A5B" w:rsidRPr="00F86DA7">
        <w:rPr>
          <w:rFonts w:ascii="Arial" w:hAnsi="Arial" w:cs="Arial"/>
          <w:sz w:val="22"/>
          <w:szCs w:val="22"/>
        </w:rPr>
        <w:t>business</w:t>
      </w:r>
      <w:r w:rsidR="00C60813">
        <w:rPr>
          <w:rFonts w:ascii="Arial" w:hAnsi="Arial" w:cs="Arial"/>
          <w:sz w:val="22"/>
          <w:szCs w:val="22"/>
        </w:rPr>
        <w:t xml:space="preserve"> – subcommittee chair transition</w:t>
      </w:r>
    </w:p>
    <w:p w:rsidR="004E6911" w:rsidRDefault="004E6911" w:rsidP="004E6911">
      <w:pPr>
        <w:pStyle w:val="ListParagraph"/>
        <w:numPr>
          <w:ilvl w:val="1"/>
          <w:numId w:val="30"/>
        </w:numPr>
        <w:tabs>
          <w:tab w:val="left" w:pos="180"/>
        </w:tabs>
        <w:spacing w:after="120"/>
        <w:contextualSpacing w:val="0"/>
        <w:rPr>
          <w:rFonts w:ascii="Arial" w:hAnsi="Arial" w:cs="Arial"/>
          <w:sz w:val="22"/>
          <w:szCs w:val="22"/>
        </w:rPr>
      </w:pPr>
      <w:r>
        <w:rPr>
          <w:rFonts w:ascii="Arial" w:hAnsi="Arial" w:cs="Arial"/>
          <w:sz w:val="22"/>
          <w:szCs w:val="22"/>
        </w:rPr>
        <w:t xml:space="preserve">Cindy </w:t>
      </w:r>
      <w:proofErr w:type="spellStart"/>
      <w:r>
        <w:rPr>
          <w:rFonts w:ascii="Arial" w:hAnsi="Arial" w:cs="Arial"/>
          <w:sz w:val="22"/>
          <w:szCs w:val="22"/>
        </w:rPr>
        <w:t>Bittel</w:t>
      </w:r>
      <w:proofErr w:type="spellEnd"/>
      <w:r>
        <w:rPr>
          <w:rFonts w:ascii="Arial" w:hAnsi="Arial" w:cs="Arial"/>
          <w:sz w:val="22"/>
          <w:szCs w:val="22"/>
        </w:rPr>
        <w:t xml:space="preserve"> volunteered in January to take over July 1</w:t>
      </w:r>
      <w:r w:rsidRPr="004E6911">
        <w:rPr>
          <w:rFonts w:ascii="Arial" w:hAnsi="Arial" w:cs="Arial"/>
          <w:sz w:val="22"/>
          <w:szCs w:val="22"/>
          <w:vertAlign w:val="superscript"/>
        </w:rPr>
        <w:t>st</w:t>
      </w:r>
      <w:r>
        <w:rPr>
          <w:rFonts w:ascii="Arial" w:hAnsi="Arial" w:cs="Arial"/>
          <w:sz w:val="22"/>
          <w:szCs w:val="22"/>
        </w:rPr>
        <w:t xml:space="preserve"> </w:t>
      </w:r>
    </w:p>
    <w:p w:rsidR="004E6911" w:rsidRPr="00F86DA7" w:rsidRDefault="004E6911" w:rsidP="004E6911">
      <w:pPr>
        <w:pStyle w:val="ListParagraph"/>
        <w:tabs>
          <w:tab w:val="left" w:pos="180"/>
        </w:tabs>
        <w:spacing w:after="120"/>
        <w:ind w:left="1440"/>
        <w:contextualSpacing w:val="0"/>
        <w:rPr>
          <w:rFonts w:ascii="Arial" w:hAnsi="Arial" w:cs="Arial"/>
          <w:sz w:val="22"/>
          <w:szCs w:val="22"/>
        </w:rPr>
      </w:pPr>
    </w:p>
    <w:sectPr w:rsidR="004E6911" w:rsidRPr="00F86DA7" w:rsidSect="0012530B">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D2A" w:rsidRDefault="002D2D2A" w:rsidP="0004399A">
      <w:r>
        <w:separator/>
      </w:r>
    </w:p>
  </w:endnote>
  <w:endnote w:type="continuationSeparator" w:id="0">
    <w:p w:rsidR="002D2D2A" w:rsidRDefault="002D2D2A"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D2A" w:rsidRDefault="002D2D2A" w:rsidP="0004399A">
      <w:r>
        <w:separator/>
      </w:r>
    </w:p>
  </w:footnote>
  <w:footnote w:type="continuationSeparator" w:id="0">
    <w:p w:rsidR="002D2D2A" w:rsidRDefault="002D2D2A" w:rsidP="0004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091E" w:rsidRPr="00C516EF" w:rsidRDefault="00C3091E" w:rsidP="006F48D5">
    <w:pPr>
      <w:pStyle w:val="Header"/>
      <w:rPr>
        <w:rFonts w:ascii="Calibri" w:hAnsi="Calibri"/>
        <w:sz w:val="23"/>
        <w:szCs w:val="23"/>
      </w:rPr>
    </w:pPr>
    <w:r>
      <w:rPr>
        <w:rFonts w:ascii="Calibri" w:hAnsi="Calibri"/>
        <w:sz w:val="23"/>
        <w:szCs w:val="23"/>
      </w:rPr>
      <w:t>ASHRAE TC 7.6 – Commercial Building Energy Audits</w:t>
    </w:r>
  </w:p>
  <w:p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F20C94">
      <w:rPr>
        <w:rFonts w:ascii="Calibri" w:hAnsi="Calibri"/>
        <w:noProof/>
        <w:sz w:val="23"/>
        <w:szCs w:val="23"/>
      </w:rPr>
      <w:t>2</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F20C94">
      <w:rPr>
        <w:rFonts w:ascii="Calibri" w:hAnsi="Calibri"/>
        <w:noProof/>
        <w:sz w:val="23"/>
        <w:szCs w:val="23"/>
      </w:rPr>
      <w:t>2</w:t>
    </w:r>
    <w:r w:rsidRPr="00C516EF">
      <w:rPr>
        <w:rFonts w:ascii="Calibri" w:hAnsi="Calibri"/>
        <w:sz w:val="23"/>
        <w:szCs w:val="23"/>
      </w:rPr>
      <w:fldChar w:fldCharType="end"/>
    </w:r>
  </w:p>
  <w:p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15:restartNumberingAfterBreak="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5E4A94"/>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5" w15:restartNumberingAfterBreak="0">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1"/>
  </w:num>
  <w:num w:numId="3">
    <w:abstractNumId w:val="32"/>
  </w:num>
  <w:num w:numId="4">
    <w:abstractNumId w:val="8"/>
  </w:num>
  <w:num w:numId="5">
    <w:abstractNumId w:val="23"/>
  </w:num>
  <w:num w:numId="6">
    <w:abstractNumId w:val="29"/>
  </w:num>
  <w:num w:numId="7">
    <w:abstractNumId w:val="24"/>
  </w:num>
  <w:num w:numId="8">
    <w:abstractNumId w:val="36"/>
  </w:num>
  <w:num w:numId="9">
    <w:abstractNumId w:val="0"/>
  </w:num>
  <w:num w:numId="10">
    <w:abstractNumId w:val="44"/>
  </w:num>
  <w:num w:numId="11">
    <w:abstractNumId w:val="13"/>
  </w:num>
  <w:num w:numId="12">
    <w:abstractNumId w:val="4"/>
  </w:num>
  <w:num w:numId="13">
    <w:abstractNumId w:val="1"/>
  </w:num>
  <w:num w:numId="14">
    <w:abstractNumId w:val="7"/>
  </w:num>
  <w:num w:numId="15">
    <w:abstractNumId w:val="40"/>
  </w:num>
  <w:num w:numId="16">
    <w:abstractNumId w:val="25"/>
  </w:num>
  <w:num w:numId="17">
    <w:abstractNumId w:val="17"/>
  </w:num>
  <w:num w:numId="18">
    <w:abstractNumId w:val="35"/>
  </w:num>
  <w:num w:numId="19">
    <w:abstractNumId w:val="9"/>
  </w:num>
  <w:num w:numId="20">
    <w:abstractNumId w:val="45"/>
  </w:num>
  <w:num w:numId="21">
    <w:abstractNumId w:val="20"/>
  </w:num>
  <w:num w:numId="22">
    <w:abstractNumId w:val="30"/>
  </w:num>
  <w:num w:numId="23">
    <w:abstractNumId w:val="10"/>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14"/>
  </w:num>
  <w:num w:numId="29">
    <w:abstractNumId w:val="21"/>
  </w:num>
  <w:num w:numId="30">
    <w:abstractNumId w:val="34"/>
  </w:num>
  <w:num w:numId="31">
    <w:abstractNumId w:val="42"/>
  </w:num>
  <w:num w:numId="32">
    <w:abstractNumId w:val="11"/>
  </w:num>
  <w:num w:numId="3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6"/>
  </w:num>
  <w:num w:numId="36">
    <w:abstractNumId w:val="18"/>
  </w:num>
  <w:num w:numId="37">
    <w:abstractNumId w:val="16"/>
  </w:num>
  <w:num w:numId="38">
    <w:abstractNumId w:val="19"/>
  </w:num>
  <w:num w:numId="39">
    <w:abstractNumId w:val="33"/>
  </w:num>
  <w:num w:numId="40">
    <w:abstractNumId w:val="27"/>
  </w:num>
  <w:num w:numId="41">
    <w:abstractNumId w:val="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
  </w:num>
  <w:num w:numId="45">
    <w:abstractNumId w:val="4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B5"/>
    <w:rsid w:val="00014385"/>
    <w:rsid w:val="000148E7"/>
    <w:rsid w:val="000203F8"/>
    <w:rsid w:val="00024EDF"/>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A1365"/>
    <w:rsid w:val="000A254E"/>
    <w:rsid w:val="000A6A68"/>
    <w:rsid w:val="000B4335"/>
    <w:rsid w:val="000B6880"/>
    <w:rsid w:val="000C1BB5"/>
    <w:rsid w:val="000C1D64"/>
    <w:rsid w:val="000D0DF0"/>
    <w:rsid w:val="000D362F"/>
    <w:rsid w:val="000D47F9"/>
    <w:rsid w:val="000D69D9"/>
    <w:rsid w:val="000E2ED8"/>
    <w:rsid w:val="000E5418"/>
    <w:rsid w:val="000E6B5D"/>
    <w:rsid w:val="000F249D"/>
    <w:rsid w:val="00114B20"/>
    <w:rsid w:val="00115009"/>
    <w:rsid w:val="00116E95"/>
    <w:rsid w:val="00120684"/>
    <w:rsid w:val="00120AAF"/>
    <w:rsid w:val="0012530B"/>
    <w:rsid w:val="00133B45"/>
    <w:rsid w:val="001376C0"/>
    <w:rsid w:val="00152464"/>
    <w:rsid w:val="001539C6"/>
    <w:rsid w:val="00155FE0"/>
    <w:rsid w:val="001868FA"/>
    <w:rsid w:val="0019076E"/>
    <w:rsid w:val="001924EE"/>
    <w:rsid w:val="00192BA2"/>
    <w:rsid w:val="001A5E09"/>
    <w:rsid w:val="001B2A46"/>
    <w:rsid w:val="001D6EF2"/>
    <w:rsid w:val="001D776D"/>
    <w:rsid w:val="001F17A8"/>
    <w:rsid w:val="001F21C1"/>
    <w:rsid w:val="001F63E5"/>
    <w:rsid w:val="001F7EB6"/>
    <w:rsid w:val="002002F4"/>
    <w:rsid w:val="00213B11"/>
    <w:rsid w:val="002233A1"/>
    <w:rsid w:val="00232467"/>
    <w:rsid w:val="00240416"/>
    <w:rsid w:val="00244138"/>
    <w:rsid w:val="0025132F"/>
    <w:rsid w:val="00251C58"/>
    <w:rsid w:val="00253BE0"/>
    <w:rsid w:val="00264638"/>
    <w:rsid w:val="002668C9"/>
    <w:rsid w:val="00266E91"/>
    <w:rsid w:val="00272CBE"/>
    <w:rsid w:val="002735C0"/>
    <w:rsid w:val="00275B9B"/>
    <w:rsid w:val="0028267D"/>
    <w:rsid w:val="00282D61"/>
    <w:rsid w:val="00286101"/>
    <w:rsid w:val="00296F33"/>
    <w:rsid w:val="002B2BC1"/>
    <w:rsid w:val="002C02EF"/>
    <w:rsid w:val="002C3B77"/>
    <w:rsid w:val="002D1344"/>
    <w:rsid w:val="002D2D2A"/>
    <w:rsid w:val="002E771A"/>
    <w:rsid w:val="002F15FD"/>
    <w:rsid w:val="002F4F82"/>
    <w:rsid w:val="002F566A"/>
    <w:rsid w:val="0031031B"/>
    <w:rsid w:val="003118D2"/>
    <w:rsid w:val="00332619"/>
    <w:rsid w:val="0033629C"/>
    <w:rsid w:val="00343A42"/>
    <w:rsid w:val="0034590C"/>
    <w:rsid w:val="00345AB1"/>
    <w:rsid w:val="003460A5"/>
    <w:rsid w:val="00352716"/>
    <w:rsid w:val="003549B0"/>
    <w:rsid w:val="00361C8B"/>
    <w:rsid w:val="003624CD"/>
    <w:rsid w:val="0036286B"/>
    <w:rsid w:val="00371188"/>
    <w:rsid w:val="00380EC9"/>
    <w:rsid w:val="00385069"/>
    <w:rsid w:val="00393EE1"/>
    <w:rsid w:val="0039511C"/>
    <w:rsid w:val="003958C8"/>
    <w:rsid w:val="003A0724"/>
    <w:rsid w:val="003A1757"/>
    <w:rsid w:val="003A1D1C"/>
    <w:rsid w:val="003A4153"/>
    <w:rsid w:val="003B498C"/>
    <w:rsid w:val="003B534B"/>
    <w:rsid w:val="003B6784"/>
    <w:rsid w:val="003C3843"/>
    <w:rsid w:val="003D1C77"/>
    <w:rsid w:val="003D6858"/>
    <w:rsid w:val="003E499C"/>
    <w:rsid w:val="003F5509"/>
    <w:rsid w:val="003F5851"/>
    <w:rsid w:val="003F661C"/>
    <w:rsid w:val="00407E9F"/>
    <w:rsid w:val="0041498D"/>
    <w:rsid w:val="004152B5"/>
    <w:rsid w:val="0042517C"/>
    <w:rsid w:val="004265A2"/>
    <w:rsid w:val="004307F3"/>
    <w:rsid w:val="00435656"/>
    <w:rsid w:val="00443F0A"/>
    <w:rsid w:val="00444DC9"/>
    <w:rsid w:val="00451BF5"/>
    <w:rsid w:val="0045490A"/>
    <w:rsid w:val="00464AB8"/>
    <w:rsid w:val="00470E48"/>
    <w:rsid w:val="0047152C"/>
    <w:rsid w:val="00473F29"/>
    <w:rsid w:val="00474C98"/>
    <w:rsid w:val="00475755"/>
    <w:rsid w:val="00482BB2"/>
    <w:rsid w:val="004929CA"/>
    <w:rsid w:val="004A4270"/>
    <w:rsid w:val="004B02D7"/>
    <w:rsid w:val="004B2299"/>
    <w:rsid w:val="004B2C35"/>
    <w:rsid w:val="004B3E5F"/>
    <w:rsid w:val="004B606E"/>
    <w:rsid w:val="004C319F"/>
    <w:rsid w:val="004C6AD3"/>
    <w:rsid w:val="004E6911"/>
    <w:rsid w:val="004F5642"/>
    <w:rsid w:val="004F6A31"/>
    <w:rsid w:val="004F762D"/>
    <w:rsid w:val="0051186A"/>
    <w:rsid w:val="00532369"/>
    <w:rsid w:val="00537C67"/>
    <w:rsid w:val="00554E41"/>
    <w:rsid w:val="00565ADC"/>
    <w:rsid w:val="00567610"/>
    <w:rsid w:val="0057308A"/>
    <w:rsid w:val="005930B7"/>
    <w:rsid w:val="00595AB6"/>
    <w:rsid w:val="005A769E"/>
    <w:rsid w:val="005C1CE8"/>
    <w:rsid w:val="005C293F"/>
    <w:rsid w:val="005D5E77"/>
    <w:rsid w:val="005E42D9"/>
    <w:rsid w:val="005E5DB0"/>
    <w:rsid w:val="005F312C"/>
    <w:rsid w:val="00600217"/>
    <w:rsid w:val="00601775"/>
    <w:rsid w:val="00601F8D"/>
    <w:rsid w:val="0060520A"/>
    <w:rsid w:val="006230A4"/>
    <w:rsid w:val="00626EB0"/>
    <w:rsid w:val="006316A6"/>
    <w:rsid w:val="0063762E"/>
    <w:rsid w:val="00637782"/>
    <w:rsid w:val="00637B23"/>
    <w:rsid w:val="00640C0E"/>
    <w:rsid w:val="0064567E"/>
    <w:rsid w:val="0065438D"/>
    <w:rsid w:val="00662EC4"/>
    <w:rsid w:val="00671915"/>
    <w:rsid w:val="00672771"/>
    <w:rsid w:val="0067305F"/>
    <w:rsid w:val="00674B80"/>
    <w:rsid w:val="00674D16"/>
    <w:rsid w:val="006758F5"/>
    <w:rsid w:val="00675A75"/>
    <w:rsid w:val="00675F6E"/>
    <w:rsid w:val="006764F0"/>
    <w:rsid w:val="00683215"/>
    <w:rsid w:val="006832F0"/>
    <w:rsid w:val="0068477F"/>
    <w:rsid w:val="00692CD0"/>
    <w:rsid w:val="00695DA3"/>
    <w:rsid w:val="00696C14"/>
    <w:rsid w:val="00697094"/>
    <w:rsid w:val="006A1547"/>
    <w:rsid w:val="006A7937"/>
    <w:rsid w:val="006B4629"/>
    <w:rsid w:val="006C1DF1"/>
    <w:rsid w:val="006D1B9F"/>
    <w:rsid w:val="006D5B74"/>
    <w:rsid w:val="006E0B08"/>
    <w:rsid w:val="006F0AC9"/>
    <w:rsid w:val="006F2993"/>
    <w:rsid w:val="006F48D5"/>
    <w:rsid w:val="00701A09"/>
    <w:rsid w:val="00706573"/>
    <w:rsid w:val="00710697"/>
    <w:rsid w:val="00713D78"/>
    <w:rsid w:val="00716996"/>
    <w:rsid w:val="007233A2"/>
    <w:rsid w:val="007274DE"/>
    <w:rsid w:val="00733817"/>
    <w:rsid w:val="00737225"/>
    <w:rsid w:val="00741AB4"/>
    <w:rsid w:val="00750E43"/>
    <w:rsid w:val="00761A31"/>
    <w:rsid w:val="007663A3"/>
    <w:rsid w:val="00767517"/>
    <w:rsid w:val="00767E4A"/>
    <w:rsid w:val="0077061D"/>
    <w:rsid w:val="0077304E"/>
    <w:rsid w:val="00773AC9"/>
    <w:rsid w:val="00775EBC"/>
    <w:rsid w:val="0078160D"/>
    <w:rsid w:val="00786E43"/>
    <w:rsid w:val="007871D4"/>
    <w:rsid w:val="00792AA2"/>
    <w:rsid w:val="00796A79"/>
    <w:rsid w:val="007A5CA7"/>
    <w:rsid w:val="007B021B"/>
    <w:rsid w:val="007B140D"/>
    <w:rsid w:val="007C2ED5"/>
    <w:rsid w:val="007C3D0E"/>
    <w:rsid w:val="007E2632"/>
    <w:rsid w:val="007F3E79"/>
    <w:rsid w:val="0080045B"/>
    <w:rsid w:val="00800E0B"/>
    <w:rsid w:val="008011B5"/>
    <w:rsid w:val="00805B62"/>
    <w:rsid w:val="00807D88"/>
    <w:rsid w:val="0081459D"/>
    <w:rsid w:val="008152CC"/>
    <w:rsid w:val="00820AD7"/>
    <w:rsid w:val="00832F3E"/>
    <w:rsid w:val="008337D9"/>
    <w:rsid w:val="00833A8E"/>
    <w:rsid w:val="00835391"/>
    <w:rsid w:val="0084629B"/>
    <w:rsid w:val="00870333"/>
    <w:rsid w:val="00870734"/>
    <w:rsid w:val="00870BCB"/>
    <w:rsid w:val="00884AB6"/>
    <w:rsid w:val="00885CA2"/>
    <w:rsid w:val="00890E06"/>
    <w:rsid w:val="00892C34"/>
    <w:rsid w:val="0089755A"/>
    <w:rsid w:val="008A6BCF"/>
    <w:rsid w:val="008B22CF"/>
    <w:rsid w:val="008B2C22"/>
    <w:rsid w:val="008B41AE"/>
    <w:rsid w:val="008B7753"/>
    <w:rsid w:val="008D2B04"/>
    <w:rsid w:val="008D2B50"/>
    <w:rsid w:val="008D4C1D"/>
    <w:rsid w:val="008E006E"/>
    <w:rsid w:val="008E30C0"/>
    <w:rsid w:val="008E7392"/>
    <w:rsid w:val="008E76F3"/>
    <w:rsid w:val="008F27A6"/>
    <w:rsid w:val="008F2C52"/>
    <w:rsid w:val="008F322D"/>
    <w:rsid w:val="008F5B01"/>
    <w:rsid w:val="009006F7"/>
    <w:rsid w:val="009036C6"/>
    <w:rsid w:val="009060A4"/>
    <w:rsid w:val="00914FBE"/>
    <w:rsid w:val="0093327C"/>
    <w:rsid w:val="00935DA7"/>
    <w:rsid w:val="00947BFB"/>
    <w:rsid w:val="00955021"/>
    <w:rsid w:val="00970D44"/>
    <w:rsid w:val="009756DA"/>
    <w:rsid w:val="009764C4"/>
    <w:rsid w:val="0098795B"/>
    <w:rsid w:val="0099292A"/>
    <w:rsid w:val="0099530F"/>
    <w:rsid w:val="00996DD0"/>
    <w:rsid w:val="009A1027"/>
    <w:rsid w:val="009A1211"/>
    <w:rsid w:val="009C131F"/>
    <w:rsid w:val="009C5A94"/>
    <w:rsid w:val="009C64FD"/>
    <w:rsid w:val="009D17EA"/>
    <w:rsid w:val="009D31C3"/>
    <w:rsid w:val="009D4084"/>
    <w:rsid w:val="009D61A4"/>
    <w:rsid w:val="009E2446"/>
    <w:rsid w:val="009E6556"/>
    <w:rsid w:val="009E674C"/>
    <w:rsid w:val="009F026B"/>
    <w:rsid w:val="009F2447"/>
    <w:rsid w:val="009F2B10"/>
    <w:rsid w:val="009F5467"/>
    <w:rsid w:val="009F6962"/>
    <w:rsid w:val="00A02A16"/>
    <w:rsid w:val="00A041C4"/>
    <w:rsid w:val="00A14574"/>
    <w:rsid w:val="00A23032"/>
    <w:rsid w:val="00A2648D"/>
    <w:rsid w:val="00A305C5"/>
    <w:rsid w:val="00A30D76"/>
    <w:rsid w:val="00A33D25"/>
    <w:rsid w:val="00A362DB"/>
    <w:rsid w:val="00A43EFB"/>
    <w:rsid w:val="00A53C98"/>
    <w:rsid w:val="00A57A91"/>
    <w:rsid w:val="00A6249D"/>
    <w:rsid w:val="00A657C2"/>
    <w:rsid w:val="00A70E72"/>
    <w:rsid w:val="00A82501"/>
    <w:rsid w:val="00A92A5B"/>
    <w:rsid w:val="00A93379"/>
    <w:rsid w:val="00AA3288"/>
    <w:rsid w:val="00AB2E5B"/>
    <w:rsid w:val="00AB33DC"/>
    <w:rsid w:val="00AB46F1"/>
    <w:rsid w:val="00AB534D"/>
    <w:rsid w:val="00AE69EE"/>
    <w:rsid w:val="00B0063C"/>
    <w:rsid w:val="00B11542"/>
    <w:rsid w:val="00B262E3"/>
    <w:rsid w:val="00B30CE7"/>
    <w:rsid w:val="00B3744E"/>
    <w:rsid w:val="00B44C1C"/>
    <w:rsid w:val="00B56EB3"/>
    <w:rsid w:val="00B579E4"/>
    <w:rsid w:val="00B61EAE"/>
    <w:rsid w:val="00B9445F"/>
    <w:rsid w:val="00B9565C"/>
    <w:rsid w:val="00BA0888"/>
    <w:rsid w:val="00BA5CD3"/>
    <w:rsid w:val="00BA6B27"/>
    <w:rsid w:val="00BB3142"/>
    <w:rsid w:val="00BC1F74"/>
    <w:rsid w:val="00BC28B6"/>
    <w:rsid w:val="00BC4B80"/>
    <w:rsid w:val="00BD3742"/>
    <w:rsid w:val="00BD7CBE"/>
    <w:rsid w:val="00BE5DAD"/>
    <w:rsid w:val="00BF7826"/>
    <w:rsid w:val="00C03723"/>
    <w:rsid w:val="00C05C0C"/>
    <w:rsid w:val="00C06C0D"/>
    <w:rsid w:val="00C11E15"/>
    <w:rsid w:val="00C15BD8"/>
    <w:rsid w:val="00C229BC"/>
    <w:rsid w:val="00C26F89"/>
    <w:rsid w:val="00C3007D"/>
    <w:rsid w:val="00C3091E"/>
    <w:rsid w:val="00C30F6C"/>
    <w:rsid w:val="00C47296"/>
    <w:rsid w:val="00C50DBE"/>
    <w:rsid w:val="00C516EF"/>
    <w:rsid w:val="00C52C66"/>
    <w:rsid w:val="00C5723A"/>
    <w:rsid w:val="00C60813"/>
    <w:rsid w:val="00C661CB"/>
    <w:rsid w:val="00C726C5"/>
    <w:rsid w:val="00C73AB9"/>
    <w:rsid w:val="00C7522A"/>
    <w:rsid w:val="00C76A8C"/>
    <w:rsid w:val="00C81862"/>
    <w:rsid w:val="00C87F35"/>
    <w:rsid w:val="00C938F6"/>
    <w:rsid w:val="00C93CD1"/>
    <w:rsid w:val="00CA0103"/>
    <w:rsid w:val="00CB2EC9"/>
    <w:rsid w:val="00CB36B6"/>
    <w:rsid w:val="00CB7690"/>
    <w:rsid w:val="00CC26C8"/>
    <w:rsid w:val="00CC5FD0"/>
    <w:rsid w:val="00CD3977"/>
    <w:rsid w:val="00CE7360"/>
    <w:rsid w:val="00CE7571"/>
    <w:rsid w:val="00CF0ACA"/>
    <w:rsid w:val="00CF736F"/>
    <w:rsid w:val="00CF774E"/>
    <w:rsid w:val="00CF7D4C"/>
    <w:rsid w:val="00D0290C"/>
    <w:rsid w:val="00D22FF3"/>
    <w:rsid w:val="00D23F8A"/>
    <w:rsid w:val="00D3396F"/>
    <w:rsid w:val="00D34077"/>
    <w:rsid w:val="00D407CA"/>
    <w:rsid w:val="00D430A8"/>
    <w:rsid w:val="00D452A0"/>
    <w:rsid w:val="00D46ACE"/>
    <w:rsid w:val="00D67A9C"/>
    <w:rsid w:val="00D7386C"/>
    <w:rsid w:val="00D8718F"/>
    <w:rsid w:val="00D96C90"/>
    <w:rsid w:val="00DA26E9"/>
    <w:rsid w:val="00DA3650"/>
    <w:rsid w:val="00DA5BE4"/>
    <w:rsid w:val="00DC059B"/>
    <w:rsid w:val="00DC1616"/>
    <w:rsid w:val="00DC1AA4"/>
    <w:rsid w:val="00DC2A05"/>
    <w:rsid w:val="00DC323F"/>
    <w:rsid w:val="00DD090D"/>
    <w:rsid w:val="00DD1637"/>
    <w:rsid w:val="00DD1A5F"/>
    <w:rsid w:val="00DE0543"/>
    <w:rsid w:val="00DE5C64"/>
    <w:rsid w:val="00DF2209"/>
    <w:rsid w:val="00DF4852"/>
    <w:rsid w:val="00DF5F5C"/>
    <w:rsid w:val="00E00339"/>
    <w:rsid w:val="00E008E5"/>
    <w:rsid w:val="00E10861"/>
    <w:rsid w:val="00E12311"/>
    <w:rsid w:val="00E1602B"/>
    <w:rsid w:val="00E2132E"/>
    <w:rsid w:val="00E21432"/>
    <w:rsid w:val="00E25A54"/>
    <w:rsid w:val="00E26E68"/>
    <w:rsid w:val="00E329FF"/>
    <w:rsid w:val="00E37BD5"/>
    <w:rsid w:val="00E4291B"/>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EF69B4"/>
    <w:rsid w:val="00F05F58"/>
    <w:rsid w:val="00F070A9"/>
    <w:rsid w:val="00F15D4E"/>
    <w:rsid w:val="00F20C94"/>
    <w:rsid w:val="00F23A58"/>
    <w:rsid w:val="00F248E3"/>
    <w:rsid w:val="00F26840"/>
    <w:rsid w:val="00F35865"/>
    <w:rsid w:val="00F36D71"/>
    <w:rsid w:val="00F52765"/>
    <w:rsid w:val="00F546EA"/>
    <w:rsid w:val="00F6330B"/>
    <w:rsid w:val="00F74C7C"/>
    <w:rsid w:val="00F7763B"/>
    <w:rsid w:val="00F8604E"/>
    <w:rsid w:val="00F866CD"/>
    <w:rsid w:val="00F86DA7"/>
    <w:rsid w:val="00F90B50"/>
    <w:rsid w:val="00FA3E26"/>
    <w:rsid w:val="00FB16BE"/>
    <w:rsid w:val="00FB540E"/>
    <w:rsid w:val="00FC0118"/>
    <w:rsid w:val="00FC0B8A"/>
    <w:rsid w:val="00FC1E57"/>
    <w:rsid w:val="00FC373A"/>
    <w:rsid w:val="00FD0700"/>
    <w:rsid w:val="00FD2255"/>
    <w:rsid w:val="00FD35FC"/>
    <w:rsid w:val="00FD5ED9"/>
    <w:rsid w:val="00FE3739"/>
    <w:rsid w:val="00FE5EC2"/>
    <w:rsid w:val="00FE6308"/>
    <w:rsid w:val="00FF28D0"/>
    <w:rsid w:val="00FF4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097F313-58BC-4202-8406-E4EA05B4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 w:type="paragraph" w:styleId="NormalWeb">
    <w:name w:val="Normal (Web)"/>
    <w:basedOn w:val="Normal"/>
    <w:uiPriority w:val="99"/>
    <w:semiHidden/>
    <w:unhideWhenUsed/>
    <w:rsid w:val="009F026B"/>
    <w:pPr>
      <w:widowControl/>
      <w:spacing w:after="150"/>
    </w:pPr>
    <w:rPr>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925710">
      <w:bodyDiv w:val="1"/>
      <w:marLeft w:val="0"/>
      <w:marRight w:val="0"/>
      <w:marTop w:val="0"/>
      <w:marBottom w:val="0"/>
      <w:divBdr>
        <w:top w:val="none" w:sz="0" w:space="0" w:color="auto"/>
        <w:left w:val="none" w:sz="0" w:space="0" w:color="auto"/>
        <w:bottom w:val="none" w:sz="0" w:space="0" w:color="auto"/>
        <w:right w:val="none" w:sz="0" w:space="0" w:color="auto"/>
      </w:divBdr>
      <w:divsChild>
        <w:div w:id="1613128037">
          <w:marLeft w:val="0"/>
          <w:marRight w:val="0"/>
          <w:marTop w:val="0"/>
          <w:marBottom w:val="0"/>
          <w:divBdr>
            <w:top w:val="none" w:sz="0" w:space="0" w:color="auto"/>
            <w:left w:val="none" w:sz="0" w:space="0" w:color="auto"/>
            <w:bottom w:val="none" w:sz="0" w:space="0" w:color="auto"/>
            <w:right w:val="none" w:sz="0" w:space="0" w:color="auto"/>
          </w:divBdr>
          <w:divsChild>
            <w:div w:id="1803032633">
              <w:marLeft w:val="0"/>
              <w:marRight w:val="0"/>
              <w:marTop w:val="0"/>
              <w:marBottom w:val="0"/>
              <w:divBdr>
                <w:top w:val="none" w:sz="0" w:space="0" w:color="auto"/>
                <w:left w:val="none" w:sz="0" w:space="0" w:color="auto"/>
                <w:bottom w:val="none" w:sz="0" w:space="0" w:color="auto"/>
                <w:right w:val="none" w:sz="0" w:space="0" w:color="auto"/>
              </w:divBdr>
              <w:divsChild>
                <w:div w:id="2110347643">
                  <w:marLeft w:val="0"/>
                  <w:marRight w:val="0"/>
                  <w:marTop w:val="0"/>
                  <w:marBottom w:val="0"/>
                  <w:divBdr>
                    <w:top w:val="none" w:sz="0" w:space="0" w:color="auto"/>
                    <w:left w:val="none" w:sz="0" w:space="0" w:color="auto"/>
                    <w:bottom w:val="none" w:sz="0" w:space="0" w:color="auto"/>
                    <w:right w:val="none" w:sz="0" w:space="0" w:color="auto"/>
                  </w:divBdr>
                  <w:divsChild>
                    <w:div w:id="1273703767">
                      <w:marLeft w:val="0"/>
                      <w:marRight w:val="0"/>
                      <w:marTop w:val="0"/>
                      <w:marBottom w:val="0"/>
                      <w:divBdr>
                        <w:top w:val="none" w:sz="0" w:space="0" w:color="auto"/>
                        <w:left w:val="none" w:sz="0" w:space="0" w:color="auto"/>
                        <w:bottom w:val="none" w:sz="0" w:space="0" w:color="auto"/>
                        <w:right w:val="none" w:sz="0" w:space="0" w:color="auto"/>
                      </w:divBdr>
                      <w:divsChild>
                        <w:div w:id="16899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69F6C7-D054-4594-BA40-7F0325ED5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399</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2669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Nate Boyd</dc:creator>
  <cp:lastModifiedBy>Nathaniel Boyd</cp:lastModifiedBy>
  <cp:revision>3</cp:revision>
  <cp:lastPrinted>2015-06-24T18:47:00Z</cp:lastPrinted>
  <dcterms:created xsi:type="dcterms:W3CDTF">2018-06-26T15:42:00Z</dcterms:created>
  <dcterms:modified xsi:type="dcterms:W3CDTF">2018-06-26T15:43:00Z</dcterms:modified>
</cp:coreProperties>
</file>