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38"/>
      </w:tblGrid>
      <w:tr w:rsidR="0012530B" w:rsidRPr="005D291F" w:rsidTr="00C73AB9">
        <w:trPr>
          <w:jc w:val="center"/>
        </w:trPr>
        <w:tc>
          <w:tcPr>
            <w:tcW w:w="9738" w:type="dxa"/>
          </w:tcPr>
          <w:p w:rsidR="0012530B" w:rsidRPr="00455F4A" w:rsidRDefault="001A5E09" w:rsidP="00C73AB9">
            <w:pPr>
              <w:pStyle w:val="Default"/>
              <w:spacing w:before="120" w:after="120"/>
              <w:ind w:left="346"/>
              <w:rPr>
                <w:rFonts w:ascii="Calibri" w:hAnsi="Calibri" w:cs="Calibri"/>
                <w:b/>
                <w:sz w:val="56"/>
              </w:rPr>
            </w:pPr>
            <w:r>
              <w:rPr>
                <w:rFonts w:cs="Calibri"/>
                <w:noProof/>
                <w:color w:val="221E1F"/>
              </w:rPr>
              <w:drawing>
                <wp:anchor distT="0" distB="0" distL="114300" distR="114300" simplePos="0" relativeHeight="251657728" behindDoc="0" locked="0" layoutInCell="1" allowOverlap="1">
                  <wp:simplePos x="0" y="0"/>
                  <wp:positionH relativeFrom="column">
                    <wp:posOffset>5128260</wp:posOffset>
                  </wp:positionH>
                  <wp:positionV relativeFrom="paragraph">
                    <wp:posOffset>161925</wp:posOffset>
                  </wp:positionV>
                  <wp:extent cx="809625" cy="552450"/>
                  <wp:effectExtent l="0" t="0" r="9525" b="0"/>
                  <wp:wrapNone/>
                  <wp:docPr id="2" name="Picture 1" descr="http://ashrae.org/Image%20Library/Static/logo_ashrae.png?code=72c4166c-fe1f-490d-abad-d16d2147f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hrae.org/Image%20Library/Static/logo_ashrae.png?code=72c4166c-fe1f-490d-abad-d16d2147f7f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30B" w:rsidRPr="005D291F">
              <w:rPr>
                <w:rFonts w:ascii="Calibri" w:hAnsi="Calibri" w:cs="Calibri"/>
                <w:color w:val="221E1F"/>
                <w:sz w:val="22"/>
                <w:szCs w:val="22"/>
              </w:rPr>
              <w:br w:type="page"/>
            </w:r>
            <w:r w:rsidR="0012530B" w:rsidRPr="005D291F">
              <w:rPr>
                <w:rFonts w:ascii="Calibri" w:hAnsi="Calibri" w:cs="Calibri"/>
                <w:sz w:val="18"/>
                <w:szCs w:val="18"/>
              </w:rPr>
              <w:br w:type="page"/>
            </w:r>
            <w:r w:rsidR="0012530B" w:rsidRPr="005D291F">
              <w:rPr>
                <w:rFonts w:ascii="Calibri" w:hAnsi="Calibri" w:cs="Calibri"/>
                <w:color w:val="auto"/>
                <w:sz w:val="20"/>
                <w:szCs w:val="20"/>
              </w:rPr>
              <w:br w:type="page"/>
            </w:r>
            <w:r w:rsidR="0012530B" w:rsidRPr="005D291F">
              <w:rPr>
                <w:rFonts w:ascii="Calibri" w:hAnsi="Calibri" w:cs="Calibri"/>
                <w:sz w:val="18"/>
                <w:szCs w:val="18"/>
              </w:rPr>
              <w:br w:type="page"/>
            </w:r>
            <w:r w:rsidR="0012530B" w:rsidRPr="005D291F">
              <w:rPr>
                <w:rFonts w:ascii="Calibri" w:hAnsi="Calibri" w:cs="Calibri"/>
                <w:sz w:val="18"/>
                <w:szCs w:val="18"/>
              </w:rPr>
              <w:br w:type="page"/>
            </w:r>
            <w:r w:rsidR="00D5263E">
              <w:rPr>
                <w:rFonts w:ascii="Calibri" w:hAnsi="Calibri" w:cs="Calibri"/>
                <w:b/>
                <w:sz w:val="56"/>
              </w:rPr>
              <w:t>Minutes</w:t>
            </w:r>
          </w:p>
          <w:p w:rsidR="00800E0B" w:rsidRPr="00A6249D" w:rsidRDefault="00800E0B" w:rsidP="00C73AB9">
            <w:pPr>
              <w:ind w:left="351"/>
              <w:rPr>
                <w:rFonts w:ascii="Calibri" w:hAnsi="Calibri" w:cs="Calibri"/>
                <w:b/>
                <w:sz w:val="22"/>
                <w:szCs w:val="22"/>
              </w:rPr>
            </w:pPr>
            <w:r w:rsidRPr="00A6249D">
              <w:rPr>
                <w:rFonts w:ascii="Calibri" w:hAnsi="Calibri" w:cs="Calibri"/>
                <w:b/>
                <w:sz w:val="22"/>
                <w:szCs w:val="22"/>
              </w:rPr>
              <w:t>TC 7.6 Building Energy Performance</w:t>
            </w:r>
          </w:p>
          <w:p w:rsidR="0012530B" w:rsidRPr="00A6249D" w:rsidRDefault="00800E0B" w:rsidP="00C73AB9">
            <w:pPr>
              <w:ind w:left="351"/>
              <w:rPr>
                <w:rFonts w:ascii="Calibri" w:hAnsi="Calibri" w:cs="Calibri"/>
                <w:b/>
                <w:sz w:val="22"/>
                <w:szCs w:val="22"/>
              </w:rPr>
            </w:pPr>
            <w:r w:rsidRPr="00A6249D">
              <w:rPr>
                <w:rFonts w:ascii="Calibri" w:hAnsi="Calibri" w:cs="Calibri"/>
                <w:b/>
                <w:sz w:val="22"/>
                <w:szCs w:val="22"/>
              </w:rPr>
              <w:t>Handbook</w:t>
            </w:r>
            <w:r w:rsidR="0012530B" w:rsidRPr="00A6249D">
              <w:rPr>
                <w:rFonts w:ascii="Calibri" w:hAnsi="Calibri" w:cs="Calibri"/>
                <w:b/>
                <w:sz w:val="22"/>
                <w:szCs w:val="22"/>
              </w:rPr>
              <w:t xml:space="preserve"> Sub-committee</w:t>
            </w:r>
          </w:p>
          <w:p w:rsidR="0012530B" w:rsidRPr="00A6249D" w:rsidRDefault="0012530B" w:rsidP="00C73AB9">
            <w:pPr>
              <w:ind w:left="351"/>
              <w:rPr>
                <w:rFonts w:ascii="Calibri" w:hAnsi="Calibri" w:cs="Calibri"/>
                <w:b/>
                <w:sz w:val="22"/>
                <w:szCs w:val="22"/>
              </w:rPr>
            </w:pPr>
          </w:p>
          <w:p w:rsidR="00800E0B" w:rsidRPr="00A6249D" w:rsidRDefault="00800E0B" w:rsidP="00C73AB9">
            <w:pPr>
              <w:ind w:left="351"/>
              <w:rPr>
                <w:rFonts w:ascii="Calibri" w:hAnsi="Calibri" w:cs="Calibri"/>
                <w:sz w:val="22"/>
                <w:szCs w:val="22"/>
              </w:rPr>
            </w:pPr>
            <w:r w:rsidRPr="00A6249D">
              <w:rPr>
                <w:rFonts w:ascii="Calibri" w:hAnsi="Calibri" w:cs="Calibri"/>
                <w:sz w:val="22"/>
                <w:szCs w:val="22"/>
              </w:rPr>
              <w:t>2019 Applications Handbook</w:t>
            </w:r>
          </w:p>
          <w:p w:rsidR="00800E0B" w:rsidRPr="00A6249D" w:rsidRDefault="00800E0B" w:rsidP="00C73AB9">
            <w:pPr>
              <w:ind w:left="351"/>
              <w:rPr>
                <w:rFonts w:ascii="Calibri" w:hAnsi="Calibri" w:cs="Calibri"/>
                <w:sz w:val="22"/>
                <w:szCs w:val="22"/>
              </w:rPr>
            </w:pPr>
            <w:r w:rsidRPr="00A6249D">
              <w:rPr>
                <w:rFonts w:ascii="Calibri" w:hAnsi="Calibri" w:cs="Calibri"/>
                <w:sz w:val="22"/>
                <w:szCs w:val="22"/>
              </w:rPr>
              <w:t>Chapter 36 – Energy Use and Management</w:t>
            </w:r>
          </w:p>
          <w:p w:rsidR="00800E0B" w:rsidRPr="00A6249D" w:rsidRDefault="00800E0B" w:rsidP="00C73AB9">
            <w:pPr>
              <w:ind w:left="351"/>
              <w:rPr>
                <w:rFonts w:ascii="Calibri" w:hAnsi="Calibri" w:cs="Calibri"/>
                <w:sz w:val="22"/>
                <w:szCs w:val="22"/>
              </w:rPr>
            </w:pPr>
            <w:r w:rsidRPr="00A6249D">
              <w:rPr>
                <w:rFonts w:ascii="Calibri" w:hAnsi="Calibri" w:cs="Calibri"/>
                <w:sz w:val="22"/>
                <w:szCs w:val="22"/>
              </w:rPr>
              <w:t>Chapter 41 – Building Energy Monitoring</w:t>
            </w:r>
          </w:p>
          <w:p w:rsidR="00800E0B" w:rsidRPr="00A6249D" w:rsidRDefault="00800E0B" w:rsidP="00C73AB9">
            <w:pPr>
              <w:ind w:left="351"/>
              <w:rPr>
                <w:rFonts w:ascii="Calibri" w:hAnsi="Calibri" w:cs="Calibri"/>
                <w:sz w:val="22"/>
                <w:szCs w:val="22"/>
              </w:rPr>
            </w:pPr>
          </w:p>
          <w:p w:rsidR="0012530B" w:rsidRPr="005D291F" w:rsidRDefault="00A362DB" w:rsidP="00D17C28">
            <w:pPr>
              <w:ind w:left="360"/>
              <w:rPr>
                <w:rFonts w:ascii="Calibri" w:hAnsi="Calibri" w:cs="Calibri"/>
                <w:sz w:val="22"/>
                <w:szCs w:val="22"/>
              </w:rPr>
            </w:pPr>
            <w:r>
              <w:rPr>
                <w:rFonts w:ascii="Calibri" w:hAnsi="Calibri" w:cs="Calibri"/>
                <w:sz w:val="22"/>
                <w:szCs w:val="22"/>
              </w:rPr>
              <w:t xml:space="preserve">Sunday, </w:t>
            </w:r>
            <w:r w:rsidR="00D17C28">
              <w:rPr>
                <w:rFonts w:ascii="Calibri" w:hAnsi="Calibri" w:cs="Calibri"/>
                <w:sz w:val="22"/>
                <w:szCs w:val="22"/>
              </w:rPr>
              <w:t>June 25</w:t>
            </w:r>
            <w:r>
              <w:rPr>
                <w:rFonts w:ascii="Calibri" w:hAnsi="Calibri" w:cs="Calibri"/>
                <w:sz w:val="22"/>
                <w:szCs w:val="22"/>
              </w:rPr>
              <w:t>, 2017</w:t>
            </w:r>
            <w:r w:rsidR="0012530B" w:rsidRPr="00A6249D">
              <w:rPr>
                <w:rFonts w:ascii="Calibri" w:hAnsi="Calibri" w:cs="Calibri"/>
                <w:sz w:val="22"/>
                <w:szCs w:val="22"/>
              </w:rPr>
              <w:t xml:space="preserve">, </w:t>
            </w:r>
            <w:r w:rsidR="00800E0B" w:rsidRPr="00A6249D">
              <w:rPr>
                <w:rFonts w:ascii="Calibri" w:hAnsi="Calibri" w:cs="Calibri"/>
                <w:sz w:val="22"/>
                <w:szCs w:val="22"/>
              </w:rPr>
              <w:t>3</w:t>
            </w:r>
            <w:r w:rsidR="0012530B" w:rsidRPr="00A6249D">
              <w:rPr>
                <w:rFonts w:ascii="Calibri" w:hAnsi="Calibri" w:cs="Calibri"/>
                <w:sz w:val="22"/>
                <w:szCs w:val="22"/>
              </w:rPr>
              <w:t>:00 pm</w:t>
            </w:r>
          </w:p>
        </w:tc>
      </w:tr>
    </w:tbl>
    <w:p w:rsidR="0012530B" w:rsidRPr="005D291F" w:rsidRDefault="0012530B" w:rsidP="0012530B">
      <w:pPr>
        <w:rPr>
          <w:rFonts w:ascii="Calibri" w:hAnsi="Calibri" w:cs="Calibri"/>
          <w:b/>
          <w:sz w:val="22"/>
          <w:szCs w:val="22"/>
        </w:rPr>
      </w:pPr>
    </w:p>
    <w:p w:rsidR="009F026B" w:rsidRDefault="009F026B" w:rsidP="009F026B">
      <w:pPr>
        <w:tabs>
          <w:tab w:val="left" w:pos="180"/>
        </w:tabs>
        <w:spacing w:after="120"/>
        <w:jc w:val="both"/>
        <w:rPr>
          <w:rFonts w:ascii="Calibri" w:hAnsi="Calibri"/>
          <w:b/>
          <w:sz w:val="23"/>
          <w:szCs w:val="23"/>
        </w:rPr>
      </w:pPr>
      <w:r>
        <w:rPr>
          <w:rFonts w:ascii="Calibri" w:hAnsi="Calibri"/>
          <w:b/>
          <w:sz w:val="23"/>
          <w:szCs w:val="23"/>
        </w:rPr>
        <w:t>Purpose:</w:t>
      </w:r>
    </w:p>
    <w:p w:rsidR="009F026B" w:rsidRDefault="009F026B" w:rsidP="009F026B">
      <w:pPr>
        <w:tabs>
          <w:tab w:val="left" w:pos="180"/>
        </w:tabs>
        <w:spacing w:after="120"/>
        <w:jc w:val="both"/>
        <w:rPr>
          <w:rFonts w:ascii="Proxima Nova" w:hAnsi="Proxima Nova" w:cs="Helvetica"/>
          <w:color w:val="333333"/>
        </w:rPr>
      </w:pPr>
      <w:r>
        <w:rPr>
          <w:rFonts w:ascii="Proxima Nova" w:hAnsi="Proxima Nova" w:cs="Helvetica"/>
          <w:color w:val="333333"/>
        </w:rPr>
        <w:t>TC 7.6 is concerned with the estimation, measurement, analysis, benchmarking, and management of whole building and building systems energy and water performance.</w:t>
      </w:r>
    </w:p>
    <w:p w:rsidR="009F026B" w:rsidRDefault="009F026B" w:rsidP="009F026B">
      <w:pPr>
        <w:pStyle w:val="NormalWeb"/>
        <w:shd w:val="clear" w:color="auto" w:fill="FFFFFF"/>
        <w:spacing w:line="390" w:lineRule="atLeast"/>
        <w:rPr>
          <w:rFonts w:ascii="Proxima Nova" w:hAnsi="Proxima Nova" w:cs="Helvetica"/>
          <w:color w:val="333333"/>
        </w:rPr>
      </w:pPr>
      <w:r>
        <w:rPr>
          <w:rFonts w:ascii="Proxima Nova" w:hAnsi="Proxima Nova" w:cs="Helvetica"/>
          <w:color w:val="333333"/>
        </w:rPr>
        <w:t>TC 7.6 is responsible for the following handbook chapters in the HVAC Applications Volume:</w:t>
      </w:r>
    </w:p>
    <w:p w:rsidR="009F026B" w:rsidRDefault="009F026B" w:rsidP="009F026B">
      <w:pPr>
        <w:pStyle w:val="NormalWeb"/>
        <w:shd w:val="clear" w:color="auto" w:fill="FFFFFF"/>
        <w:spacing w:line="390" w:lineRule="atLeast"/>
        <w:rPr>
          <w:rFonts w:ascii="Proxima Nova" w:hAnsi="Proxima Nova" w:cs="Helvetica"/>
          <w:color w:val="333333"/>
        </w:rPr>
      </w:pPr>
      <w:r>
        <w:rPr>
          <w:rStyle w:val="Strong"/>
          <w:rFonts w:ascii="Proxima Nova" w:hAnsi="Proxima Nova" w:cs="Helvetica"/>
          <w:color w:val="333333"/>
        </w:rPr>
        <w:t>HVAC APPLICATIONS: Energy Use and Management</w:t>
      </w:r>
      <w:r>
        <w:rPr>
          <w:rFonts w:ascii="Proxima Nova" w:hAnsi="Proxima Nova" w:cs="Helvetica"/>
          <w:color w:val="333333"/>
        </w:rPr>
        <w:br/>
        <w:t>Energy management in buildings is the control of energy use and cost while maintaining indoor environmental conditions to provide comfort and to fully meet functional needs. This chapter provides guidance on establishing an effective, ongoing energy management program, as well as information on planning and implementing energy management projects. The energy manager should understand how energy is used in the building, to manage it effectively. There are opportunities for savings by reducing the unit price of purchased energy, and by improving the efficiency and reducing the use of energy-consuming systems. Water/sewer costs and use may be included in the energy management activity. This could be called “utility management,” but “energy management” is used in this chapter.</w:t>
      </w:r>
    </w:p>
    <w:p w:rsidR="009F026B" w:rsidRDefault="009F026B" w:rsidP="009F026B">
      <w:pPr>
        <w:pStyle w:val="NormalWeb"/>
        <w:shd w:val="clear" w:color="auto" w:fill="FFFFFF"/>
        <w:spacing w:line="390" w:lineRule="atLeast"/>
        <w:rPr>
          <w:rFonts w:ascii="Proxima Nova" w:hAnsi="Proxima Nova" w:cs="Helvetica"/>
          <w:color w:val="333333"/>
        </w:rPr>
      </w:pPr>
      <w:r>
        <w:rPr>
          <w:rStyle w:val="Strong"/>
          <w:rFonts w:ascii="Proxima Nova" w:hAnsi="Proxima Nova" w:cs="Helvetica"/>
          <w:color w:val="333333"/>
        </w:rPr>
        <w:t>HVAC APPLICATIONS: Building Energy Monitoring</w:t>
      </w:r>
      <w:r>
        <w:rPr>
          <w:rFonts w:ascii="Proxima Nova" w:hAnsi="Proxima Nova" w:cs="Helvetica"/>
          <w:color w:val="333333"/>
        </w:rPr>
        <w:br/>
        <w:t>This chapter provides guidelines for developing building monitoring projects that provide the necessary measured data at acceptable cost. The intended audience comprises building owners, building energy monitoring practitioners, and data end users such as energy and energy service suppliers, energy end users, building system designers, public and private research organizations, utility program managers and evaluators, equipment manufacturers, and officials who regulate residential and commercial building energy systems. A new section has been added on small projects to show how the methodology can be simplified.</w:t>
      </w:r>
    </w:p>
    <w:p w:rsidR="00D17C28" w:rsidRDefault="00D17C28" w:rsidP="009F026B">
      <w:pPr>
        <w:pStyle w:val="NormalWeb"/>
        <w:shd w:val="clear" w:color="auto" w:fill="FFFFFF"/>
        <w:spacing w:line="390" w:lineRule="atLeast"/>
        <w:rPr>
          <w:rFonts w:ascii="Proxima Nova" w:hAnsi="Proxima Nova" w:cs="Helvetica"/>
          <w:color w:val="333333"/>
        </w:rPr>
      </w:pPr>
    </w:p>
    <w:p w:rsidR="0031031B" w:rsidRPr="00EF69B4" w:rsidRDefault="0031031B" w:rsidP="0012530B">
      <w:pPr>
        <w:pStyle w:val="ListParagraph"/>
        <w:numPr>
          <w:ilvl w:val="0"/>
          <w:numId w:val="30"/>
        </w:numPr>
        <w:tabs>
          <w:tab w:val="left" w:pos="180"/>
        </w:tabs>
        <w:spacing w:after="120"/>
        <w:contextualSpacing w:val="0"/>
        <w:rPr>
          <w:rFonts w:asciiTheme="minorHAnsi" w:hAnsiTheme="minorHAnsi" w:cstheme="minorHAnsi"/>
          <w:sz w:val="22"/>
          <w:szCs w:val="22"/>
        </w:rPr>
      </w:pPr>
      <w:r w:rsidRPr="00EF69B4">
        <w:rPr>
          <w:rFonts w:asciiTheme="minorHAnsi" w:hAnsiTheme="minorHAnsi" w:cstheme="minorHAnsi"/>
          <w:sz w:val="22"/>
          <w:szCs w:val="22"/>
        </w:rPr>
        <w:lastRenderedPageBreak/>
        <w:t>Introductions</w:t>
      </w:r>
      <w:r w:rsidR="00D5263E">
        <w:rPr>
          <w:rFonts w:asciiTheme="minorHAnsi" w:hAnsiTheme="minorHAnsi" w:cstheme="minorHAnsi"/>
          <w:sz w:val="22"/>
          <w:szCs w:val="22"/>
        </w:rPr>
        <w:t xml:space="preserve">, </w:t>
      </w:r>
      <w:r w:rsidR="004A3F96">
        <w:rPr>
          <w:rFonts w:asciiTheme="minorHAnsi" w:hAnsiTheme="minorHAnsi" w:cstheme="minorHAnsi"/>
          <w:sz w:val="22"/>
          <w:szCs w:val="22"/>
        </w:rPr>
        <w:t>12</w:t>
      </w:r>
      <w:r w:rsidR="00D5263E">
        <w:rPr>
          <w:rFonts w:asciiTheme="minorHAnsi" w:hAnsiTheme="minorHAnsi" w:cstheme="minorHAnsi"/>
          <w:sz w:val="22"/>
          <w:szCs w:val="22"/>
        </w:rPr>
        <w:t xml:space="preserve"> attendees</w:t>
      </w:r>
    </w:p>
    <w:p w:rsidR="00892C34" w:rsidRDefault="009F026B" w:rsidP="00892C34">
      <w:pPr>
        <w:pStyle w:val="ListParagraph"/>
        <w:numPr>
          <w:ilvl w:val="1"/>
          <w:numId w:val="30"/>
        </w:numPr>
        <w:tabs>
          <w:tab w:val="left" w:pos="180"/>
        </w:tabs>
        <w:spacing w:after="120"/>
        <w:contextualSpacing w:val="0"/>
        <w:rPr>
          <w:rFonts w:asciiTheme="minorHAnsi" w:hAnsiTheme="minorHAnsi" w:cstheme="minorHAnsi"/>
          <w:sz w:val="22"/>
          <w:szCs w:val="22"/>
        </w:rPr>
      </w:pPr>
      <w:r>
        <w:rPr>
          <w:rFonts w:asciiTheme="minorHAnsi" w:hAnsiTheme="minorHAnsi" w:cstheme="minorHAnsi"/>
          <w:sz w:val="22"/>
          <w:szCs w:val="22"/>
        </w:rPr>
        <w:t>2015 Applications Handbook</w:t>
      </w:r>
    </w:p>
    <w:p w:rsidR="00674B80" w:rsidRDefault="00674B80" w:rsidP="00674B80">
      <w:pPr>
        <w:pStyle w:val="ListParagraph"/>
        <w:numPr>
          <w:ilvl w:val="2"/>
          <w:numId w:val="30"/>
        </w:numPr>
        <w:tabs>
          <w:tab w:val="left" w:pos="180"/>
        </w:tabs>
        <w:spacing w:after="120"/>
        <w:contextualSpacing w:val="0"/>
        <w:rPr>
          <w:rFonts w:asciiTheme="minorHAnsi" w:hAnsiTheme="minorHAnsi" w:cstheme="minorHAnsi"/>
          <w:sz w:val="22"/>
          <w:szCs w:val="22"/>
        </w:rPr>
      </w:pPr>
      <w:r>
        <w:rPr>
          <w:rFonts w:asciiTheme="minorHAnsi" w:hAnsiTheme="minorHAnsi" w:cstheme="minorHAnsi"/>
          <w:sz w:val="22"/>
          <w:szCs w:val="22"/>
        </w:rPr>
        <w:t>Revised chapters 36 and 41 did not make it into print publication</w:t>
      </w:r>
      <w:r w:rsidR="009F026B">
        <w:rPr>
          <w:rFonts w:asciiTheme="minorHAnsi" w:hAnsiTheme="minorHAnsi" w:cstheme="minorHAnsi"/>
          <w:sz w:val="22"/>
          <w:szCs w:val="22"/>
        </w:rPr>
        <w:t xml:space="preserve"> – communication breakdown, new procedures for Handbook Chapter updates should eliminate the specific circumstances that befell this TC last go-round.</w:t>
      </w:r>
    </w:p>
    <w:p w:rsidR="00A6249D" w:rsidRDefault="00473F29" w:rsidP="00A6249D">
      <w:pPr>
        <w:pStyle w:val="ListParagraph"/>
        <w:numPr>
          <w:ilvl w:val="2"/>
          <w:numId w:val="30"/>
        </w:numPr>
        <w:tabs>
          <w:tab w:val="left" w:pos="180"/>
        </w:tabs>
        <w:spacing w:after="120"/>
        <w:contextualSpacing w:val="0"/>
        <w:rPr>
          <w:rFonts w:asciiTheme="minorHAnsi" w:hAnsiTheme="minorHAnsi" w:cstheme="minorHAnsi"/>
          <w:sz w:val="22"/>
          <w:szCs w:val="22"/>
        </w:rPr>
      </w:pPr>
      <w:r>
        <w:rPr>
          <w:rFonts w:asciiTheme="minorHAnsi" w:hAnsiTheme="minorHAnsi" w:cstheme="minorHAnsi"/>
          <w:sz w:val="22"/>
          <w:szCs w:val="22"/>
        </w:rPr>
        <w:t>E</w:t>
      </w:r>
      <w:r w:rsidR="00674B80">
        <w:rPr>
          <w:rFonts w:asciiTheme="minorHAnsi" w:hAnsiTheme="minorHAnsi" w:cstheme="minorHAnsi"/>
          <w:sz w:val="22"/>
          <w:szCs w:val="22"/>
        </w:rPr>
        <w:t>lectronic version</w:t>
      </w:r>
      <w:r w:rsidR="002530BF">
        <w:rPr>
          <w:rFonts w:asciiTheme="minorHAnsi" w:hAnsiTheme="minorHAnsi" w:cstheme="minorHAnsi"/>
          <w:sz w:val="22"/>
          <w:szCs w:val="22"/>
        </w:rPr>
        <w:t>s</w:t>
      </w:r>
      <w:r w:rsidR="00674B80">
        <w:rPr>
          <w:rFonts w:asciiTheme="minorHAnsi" w:hAnsiTheme="minorHAnsi" w:cstheme="minorHAnsi"/>
          <w:sz w:val="22"/>
          <w:szCs w:val="22"/>
        </w:rPr>
        <w:t xml:space="preserve"> include the revised chapters</w:t>
      </w:r>
    </w:p>
    <w:p w:rsidR="00A362DB" w:rsidRPr="00A362DB" w:rsidRDefault="00A362DB" w:rsidP="00A362DB">
      <w:pPr>
        <w:pStyle w:val="ListParagraph"/>
        <w:numPr>
          <w:ilvl w:val="2"/>
          <w:numId w:val="30"/>
        </w:numPr>
        <w:rPr>
          <w:rFonts w:asciiTheme="minorHAnsi" w:hAnsiTheme="minorHAnsi" w:cstheme="minorHAnsi"/>
          <w:sz w:val="22"/>
          <w:szCs w:val="22"/>
        </w:rPr>
      </w:pPr>
      <w:r w:rsidRPr="00A362DB">
        <w:rPr>
          <w:rFonts w:asciiTheme="minorHAnsi" w:hAnsiTheme="minorHAnsi" w:cstheme="minorHAnsi"/>
          <w:sz w:val="22"/>
          <w:szCs w:val="22"/>
        </w:rPr>
        <w:t>Next edition of the Applications Handbook will be published in 2019</w:t>
      </w:r>
      <w:r w:rsidR="002530BF">
        <w:rPr>
          <w:rFonts w:asciiTheme="minorHAnsi" w:hAnsiTheme="minorHAnsi" w:cstheme="minorHAnsi"/>
          <w:sz w:val="22"/>
          <w:szCs w:val="22"/>
        </w:rPr>
        <w:t xml:space="preserve"> – We must be substantially complete by 2018 Winter Conference, for TC 7.6 vote in 2018 Annual Conference to hit the publication deadline of July 31, 2018.</w:t>
      </w:r>
    </w:p>
    <w:p w:rsidR="00A362DB" w:rsidRPr="009F026B" w:rsidRDefault="00A362DB" w:rsidP="00A362DB">
      <w:pPr>
        <w:pStyle w:val="ListParagraph"/>
        <w:tabs>
          <w:tab w:val="left" w:pos="180"/>
        </w:tabs>
        <w:spacing w:after="120"/>
        <w:ind w:left="2160"/>
        <w:contextualSpacing w:val="0"/>
        <w:rPr>
          <w:rFonts w:asciiTheme="minorHAnsi" w:hAnsiTheme="minorHAnsi" w:cstheme="minorHAnsi"/>
          <w:sz w:val="22"/>
          <w:szCs w:val="22"/>
        </w:rPr>
      </w:pPr>
    </w:p>
    <w:p w:rsidR="0031031B" w:rsidRPr="00EF69B4" w:rsidRDefault="00A6249D" w:rsidP="0012530B">
      <w:pPr>
        <w:pStyle w:val="ListParagraph"/>
        <w:numPr>
          <w:ilvl w:val="0"/>
          <w:numId w:val="30"/>
        </w:numPr>
        <w:tabs>
          <w:tab w:val="left" w:pos="180"/>
        </w:tabs>
        <w:spacing w:after="120"/>
        <w:contextualSpacing w:val="0"/>
        <w:rPr>
          <w:rFonts w:asciiTheme="minorHAnsi" w:hAnsiTheme="minorHAnsi" w:cstheme="minorHAnsi"/>
          <w:sz w:val="22"/>
          <w:szCs w:val="22"/>
        </w:rPr>
      </w:pPr>
      <w:r w:rsidRPr="00EF69B4">
        <w:rPr>
          <w:rFonts w:asciiTheme="minorHAnsi" w:hAnsiTheme="minorHAnsi" w:cstheme="minorHAnsi"/>
          <w:sz w:val="22"/>
          <w:szCs w:val="22"/>
        </w:rPr>
        <w:t>Handbook Subcommittee tasks</w:t>
      </w:r>
    </w:p>
    <w:p w:rsidR="00A6249D" w:rsidRDefault="00A362DB" w:rsidP="00A6249D">
      <w:pPr>
        <w:pStyle w:val="ListParagraph"/>
        <w:widowControl/>
        <w:numPr>
          <w:ilvl w:val="2"/>
          <w:numId w:val="45"/>
        </w:numPr>
        <w:rPr>
          <w:rFonts w:asciiTheme="minorHAnsi" w:hAnsiTheme="minorHAnsi" w:cstheme="minorHAnsi"/>
          <w:sz w:val="22"/>
          <w:szCs w:val="22"/>
        </w:rPr>
      </w:pPr>
      <w:r>
        <w:rPr>
          <w:rFonts w:asciiTheme="minorHAnsi" w:hAnsiTheme="minorHAnsi" w:cstheme="minorHAnsi"/>
          <w:sz w:val="22"/>
          <w:szCs w:val="22"/>
        </w:rPr>
        <w:t>Review</w:t>
      </w:r>
      <w:r w:rsidR="00D5263E">
        <w:rPr>
          <w:rFonts w:asciiTheme="minorHAnsi" w:hAnsiTheme="minorHAnsi" w:cstheme="minorHAnsi"/>
          <w:sz w:val="22"/>
          <w:szCs w:val="22"/>
        </w:rPr>
        <w:t>ed</w:t>
      </w:r>
      <w:r>
        <w:rPr>
          <w:rFonts w:asciiTheme="minorHAnsi" w:hAnsiTheme="minorHAnsi" w:cstheme="minorHAnsi"/>
          <w:sz w:val="22"/>
          <w:szCs w:val="22"/>
        </w:rPr>
        <w:t xml:space="preserve"> Ch. 36, compile</w:t>
      </w:r>
      <w:r w:rsidR="00D5263E">
        <w:rPr>
          <w:rFonts w:asciiTheme="minorHAnsi" w:hAnsiTheme="minorHAnsi" w:cstheme="minorHAnsi"/>
          <w:sz w:val="22"/>
          <w:szCs w:val="22"/>
        </w:rPr>
        <w:t>d</w:t>
      </w:r>
      <w:r>
        <w:rPr>
          <w:rFonts w:asciiTheme="minorHAnsi" w:hAnsiTheme="minorHAnsi" w:cstheme="minorHAnsi"/>
          <w:sz w:val="22"/>
          <w:szCs w:val="22"/>
        </w:rPr>
        <w:t xml:space="preserve"> comments</w:t>
      </w:r>
    </w:p>
    <w:p w:rsidR="00A362DB" w:rsidRDefault="00A362DB" w:rsidP="00A6249D">
      <w:pPr>
        <w:pStyle w:val="ListParagraph"/>
        <w:widowControl/>
        <w:numPr>
          <w:ilvl w:val="2"/>
          <w:numId w:val="45"/>
        </w:numPr>
        <w:rPr>
          <w:rFonts w:asciiTheme="minorHAnsi" w:hAnsiTheme="minorHAnsi" w:cstheme="minorHAnsi"/>
          <w:sz w:val="22"/>
          <w:szCs w:val="22"/>
        </w:rPr>
      </w:pPr>
      <w:r>
        <w:rPr>
          <w:rFonts w:asciiTheme="minorHAnsi" w:hAnsiTheme="minorHAnsi" w:cstheme="minorHAnsi"/>
          <w:sz w:val="22"/>
          <w:szCs w:val="22"/>
        </w:rPr>
        <w:t>Review</w:t>
      </w:r>
      <w:r w:rsidR="00D5263E">
        <w:rPr>
          <w:rFonts w:asciiTheme="minorHAnsi" w:hAnsiTheme="minorHAnsi" w:cstheme="minorHAnsi"/>
          <w:sz w:val="22"/>
          <w:szCs w:val="22"/>
        </w:rPr>
        <w:t>ed</w:t>
      </w:r>
      <w:r>
        <w:rPr>
          <w:rFonts w:asciiTheme="minorHAnsi" w:hAnsiTheme="minorHAnsi" w:cstheme="minorHAnsi"/>
          <w:sz w:val="22"/>
          <w:szCs w:val="22"/>
        </w:rPr>
        <w:t xml:space="preserve"> Ch. 41, compile</w:t>
      </w:r>
      <w:r w:rsidR="00D5263E">
        <w:rPr>
          <w:rFonts w:asciiTheme="minorHAnsi" w:hAnsiTheme="minorHAnsi" w:cstheme="minorHAnsi"/>
          <w:sz w:val="22"/>
          <w:szCs w:val="22"/>
        </w:rPr>
        <w:t>d</w:t>
      </w:r>
      <w:r>
        <w:rPr>
          <w:rFonts w:asciiTheme="minorHAnsi" w:hAnsiTheme="minorHAnsi" w:cstheme="minorHAnsi"/>
          <w:sz w:val="22"/>
          <w:szCs w:val="22"/>
        </w:rPr>
        <w:t xml:space="preserve"> comments</w:t>
      </w:r>
    </w:p>
    <w:p w:rsidR="00D5263E" w:rsidRDefault="00D5263E" w:rsidP="00A6249D">
      <w:pPr>
        <w:pStyle w:val="ListParagraph"/>
        <w:widowControl/>
        <w:numPr>
          <w:ilvl w:val="2"/>
          <w:numId w:val="45"/>
        </w:numPr>
        <w:rPr>
          <w:rFonts w:asciiTheme="minorHAnsi" w:hAnsiTheme="minorHAnsi" w:cstheme="minorHAnsi"/>
          <w:sz w:val="22"/>
          <w:szCs w:val="22"/>
        </w:rPr>
      </w:pPr>
      <w:r>
        <w:rPr>
          <w:rFonts w:asciiTheme="minorHAnsi" w:hAnsiTheme="minorHAnsi" w:cstheme="minorHAnsi"/>
          <w:sz w:val="22"/>
          <w:szCs w:val="22"/>
        </w:rPr>
        <w:t>Existing references to ASHRAE and other publications identified for literature review to update where necessary (or if even still in print); tables identified for updates as well as substantial changes to major section covering survey and audits, EEMs/ECMs, system optimization, energy modeling, monitoring and M&amp;V, Building energy labels, Building EQ, and references to any federal programs that may not survive the current administration.</w:t>
      </w:r>
    </w:p>
    <w:p w:rsidR="00D5263E" w:rsidRDefault="00D5263E" w:rsidP="00A6249D">
      <w:pPr>
        <w:pStyle w:val="ListParagraph"/>
        <w:widowControl/>
        <w:numPr>
          <w:ilvl w:val="2"/>
          <w:numId w:val="45"/>
        </w:numPr>
        <w:rPr>
          <w:rFonts w:asciiTheme="minorHAnsi" w:hAnsiTheme="minorHAnsi" w:cstheme="minorHAnsi"/>
          <w:sz w:val="22"/>
          <w:szCs w:val="22"/>
        </w:rPr>
      </w:pPr>
      <w:r>
        <w:rPr>
          <w:rFonts w:asciiTheme="minorHAnsi" w:hAnsiTheme="minorHAnsi" w:cstheme="minorHAnsi"/>
          <w:sz w:val="22"/>
          <w:szCs w:val="22"/>
        </w:rPr>
        <w:t>Each Chapter will also be substantially rewritten to include Water, and as such chapter titles will change.</w:t>
      </w:r>
    </w:p>
    <w:p w:rsidR="00D5263E" w:rsidRPr="00EF69B4" w:rsidRDefault="00D5263E" w:rsidP="00A6249D">
      <w:pPr>
        <w:pStyle w:val="ListParagraph"/>
        <w:widowControl/>
        <w:numPr>
          <w:ilvl w:val="2"/>
          <w:numId w:val="45"/>
        </w:numPr>
        <w:rPr>
          <w:rFonts w:asciiTheme="minorHAnsi" w:hAnsiTheme="minorHAnsi" w:cstheme="minorHAnsi"/>
          <w:sz w:val="22"/>
          <w:szCs w:val="22"/>
        </w:rPr>
      </w:pPr>
      <w:r>
        <w:rPr>
          <w:rFonts w:asciiTheme="minorHAnsi" w:hAnsiTheme="minorHAnsi" w:cstheme="minorHAnsi"/>
          <w:sz w:val="22"/>
          <w:szCs w:val="22"/>
        </w:rPr>
        <w:t>Additional research into water efficiency/use tables will be performed.</w:t>
      </w:r>
      <w:r w:rsidR="00F3137F">
        <w:rPr>
          <w:rFonts w:asciiTheme="minorHAnsi" w:hAnsiTheme="minorHAnsi" w:cstheme="minorHAnsi"/>
          <w:sz w:val="22"/>
          <w:szCs w:val="22"/>
        </w:rPr>
        <w:t xml:space="preserve">  Standard 191, 188, 189.1…)</w:t>
      </w:r>
    </w:p>
    <w:p w:rsidR="00EF69B4" w:rsidRPr="00A362DB" w:rsidRDefault="00EF69B4" w:rsidP="00A362DB">
      <w:pPr>
        <w:widowControl/>
        <w:rPr>
          <w:rFonts w:asciiTheme="minorHAnsi" w:hAnsiTheme="minorHAnsi" w:cstheme="minorHAnsi"/>
          <w:sz w:val="22"/>
          <w:szCs w:val="22"/>
        </w:rPr>
      </w:pPr>
    </w:p>
    <w:p w:rsidR="00A6249D" w:rsidRPr="00A362DB" w:rsidRDefault="00A362DB" w:rsidP="00A362DB">
      <w:pPr>
        <w:widowControl/>
        <w:ind w:left="1080"/>
        <w:rPr>
          <w:rFonts w:asciiTheme="minorHAnsi" w:hAnsiTheme="minorHAnsi" w:cstheme="minorHAnsi"/>
          <w:sz w:val="22"/>
          <w:szCs w:val="22"/>
        </w:rPr>
      </w:pPr>
      <w:r>
        <w:rPr>
          <w:rFonts w:asciiTheme="minorHAnsi" w:hAnsiTheme="minorHAnsi" w:cstheme="minorHAnsi"/>
          <w:sz w:val="22"/>
          <w:szCs w:val="22"/>
        </w:rPr>
        <w:t xml:space="preserve">a.  </w:t>
      </w:r>
      <w:r w:rsidR="00A6249D" w:rsidRPr="00A362DB">
        <w:rPr>
          <w:rFonts w:asciiTheme="minorHAnsi" w:hAnsiTheme="minorHAnsi" w:cstheme="minorHAnsi"/>
          <w:sz w:val="22"/>
          <w:szCs w:val="22"/>
        </w:rPr>
        <w:t xml:space="preserve">The </w:t>
      </w:r>
      <w:r w:rsidR="0041498D" w:rsidRPr="00A362DB">
        <w:rPr>
          <w:rFonts w:asciiTheme="minorHAnsi" w:hAnsiTheme="minorHAnsi" w:cstheme="minorHAnsi"/>
          <w:sz w:val="22"/>
          <w:szCs w:val="22"/>
        </w:rPr>
        <w:t xml:space="preserve">Review and </w:t>
      </w:r>
      <w:r w:rsidRPr="00A362DB">
        <w:rPr>
          <w:rFonts w:asciiTheme="minorHAnsi" w:hAnsiTheme="minorHAnsi" w:cstheme="minorHAnsi"/>
          <w:sz w:val="22"/>
          <w:szCs w:val="22"/>
        </w:rPr>
        <w:t>Revision process</w:t>
      </w:r>
    </w:p>
    <w:p w:rsidR="00EF69B4" w:rsidRPr="00EF69B4" w:rsidRDefault="00EF69B4" w:rsidP="00A6249D">
      <w:pPr>
        <w:pStyle w:val="ListParagraph"/>
        <w:widowControl/>
        <w:numPr>
          <w:ilvl w:val="2"/>
          <w:numId w:val="45"/>
        </w:numPr>
        <w:rPr>
          <w:rFonts w:asciiTheme="minorHAnsi" w:hAnsiTheme="minorHAnsi" w:cstheme="minorHAnsi"/>
          <w:sz w:val="22"/>
          <w:szCs w:val="22"/>
        </w:rPr>
      </w:pPr>
      <w:r w:rsidRPr="00EF69B4">
        <w:rPr>
          <w:rFonts w:asciiTheme="minorHAnsi" w:hAnsiTheme="minorHAnsi" w:cstheme="minorHAnsi"/>
          <w:sz w:val="22"/>
          <w:szCs w:val="22"/>
        </w:rPr>
        <w:t>Po</w:t>
      </w:r>
      <w:r w:rsidR="00CB053C">
        <w:rPr>
          <w:rFonts w:asciiTheme="minorHAnsi" w:hAnsiTheme="minorHAnsi" w:cstheme="minorHAnsi"/>
          <w:sz w:val="22"/>
          <w:szCs w:val="22"/>
        </w:rPr>
        <w:t>ssible revision source material:</w:t>
      </w:r>
    </w:p>
    <w:p w:rsidR="00EF69B4" w:rsidRP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Excerpts from relevant Standards &amp; Guidelines</w:t>
      </w:r>
    </w:p>
    <w:p w:rsidR="00EF69B4" w:rsidRP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TC 7.6 Research &amp; Programs</w:t>
      </w:r>
    </w:p>
    <w:p w:rsidR="00EF69B4" w:rsidRP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Subject Matter Experts</w:t>
      </w:r>
    </w:p>
    <w:p w:rsidR="00EF69B4" w:rsidRP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DOE Building Energy Data Book/EERE/TAP resources</w:t>
      </w:r>
    </w:p>
    <w:p w:rsidR="00EF69B4" w:rsidRP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Handbook CD</w:t>
      </w:r>
    </w:p>
    <w:p w:rsidR="00EF69B4" w:rsidRP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PCBEA 2</w:t>
      </w:r>
      <w:r w:rsidRPr="00EF69B4">
        <w:rPr>
          <w:rFonts w:asciiTheme="minorHAnsi" w:hAnsiTheme="minorHAnsi" w:cstheme="minorHAnsi"/>
          <w:sz w:val="22"/>
          <w:szCs w:val="22"/>
          <w:vertAlign w:val="superscript"/>
        </w:rPr>
        <w:t>nd</w:t>
      </w:r>
      <w:r w:rsidRPr="00EF69B4">
        <w:rPr>
          <w:rFonts w:asciiTheme="minorHAnsi" w:hAnsiTheme="minorHAnsi" w:cstheme="minorHAnsi"/>
          <w:sz w:val="22"/>
          <w:szCs w:val="22"/>
        </w:rPr>
        <w:t xml:space="preserve"> Edition (and pending 3</w:t>
      </w:r>
      <w:r w:rsidRPr="00EF69B4">
        <w:rPr>
          <w:rFonts w:asciiTheme="minorHAnsi" w:hAnsiTheme="minorHAnsi" w:cstheme="minorHAnsi"/>
          <w:sz w:val="22"/>
          <w:szCs w:val="22"/>
          <w:vertAlign w:val="superscript"/>
        </w:rPr>
        <w:t>rd</w:t>
      </w:r>
      <w:r w:rsidRPr="00EF69B4">
        <w:rPr>
          <w:rFonts w:asciiTheme="minorHAnsi" w:hAnsiTheme="minorHAnsi" w:cstheme="minorHAnsi"/>
          <w:sz w:val="22"/>
          <w:szCs w:val="22"/>
        </w:rPr>
        <w:t xml:space="preserve"> Ed., along with Std. 211)</w:t>
      </w:r>
    </w:p>
    <w:p w:rsidR="00EF69B4" w:rsidRDefault="00EF69B4" w:rsidP="00EF69B4">
      <w:pPr>
        <w:pStyle w:val="ListParagraph"/>
        <w:widowControl/>
        <w:numPr>
          <w:ilvl w:val="3"/>
          <w:numId w:val="45"/>
        </w:numPr>
        <w:rPr>
          <w:rFonts w:asciiTheme="minorHAnsi" w:hAnsiTheme="minorHAnsi" w:cstheme="minorHAnsi"/>
          <w:sz w:val="22"/>
          <w:szCs w:val="22"/>
        </w:rPr>
      </w:pPr>
      <w:r w:rsidRPr="00EF69B4">
        <w:rPr>
          <w:rFonts w:asciiTheme="minorHAnsi" w:hAnsiTheme="minorHAnsi" w:cstheme="minorHAnsi"/>
          <w:sz w:val="22"/>
          <w:szCs w:val="22"/>
        </w:rPr>
        <w:t>EPA ENERGY STAR®</w:t>
      </w:r>
    </w:p>
    <w:p w:rsidR="009F026B" w:rsidRDefault="0041498D" w:rsidP="00EF69B4">
      <w:pPr>
        <w:pStyle w:val="ListParagraph"/>
        <w:widowControl/>
        <w:numPr>
          <w:ilvl w:val="3"/>
          <w:numId w:val="45"/>
        </w:numPr>
        <w:rPr>
          <w:rFonts w:asciiTheme="minorHAnsi" w:hAnsiTheme="minorHAnsi" w:cstheme="minorHAnsi"/>
          <w:sz w:val="22"/>
          <w:szCs w:val="22"/>
        </w:rPr>
      </w:pPr>
      <w:r>
        <w:rPr>
          <w:rFonts w:asciiTheme="minorHAnsi" w:hAnsiTheme="minorHAnsi" w:cstheme="minorHAnsi"/>
          <w:sz w:val="22"/>
          <w:szCs w:val="22"/>
        </w:rPr>
        <w:t xml:space="preserve">Building </w:t>
      </w:r>
      <w:r w:rsidR="009F026B">
        <w:rPr>
          <w:rFonts w:asciiTheme="minorHAnsi" w:hAnsiTheme="minorHAnsi" w:cstheme="minorHAnsi"/>
          <w:sz w:val="22"/>
          <w:szCs w:val="22"/>
        </w:rPr>
        <w:t>EQ</w:t>
      </w:r>
    </w:p>
    <w:p w:rsidR="00F3137F" w:rsidRDefault="00F3137F" w:rsidP="00EF69B4">
      <w:pPr>
        <w:pStyle w:val="ListParagraph"/>
        <w:widowControl/>
        <w:numPr>
          <w:ilvl w:val="3"/>
          <w:numId w:val="45"/>
        </w:numPr>
        <w:rPr>
          <w:rFonts w:asciiTheme="minorHAnsi" w:hAnsiTheme="minorHAnsi" w:cstheme="minorHAnsi"/>
          <w:sz w:val="22"/>
          <w:szCs w:val="22"/>
        </w:rPr>
      </w:pPr>
      <w:r>
        <w:rPr>
          <w:rFonts w:asciiTheme="minorHAnsi" w:hAnsiTheme="minorHAnsi" w:cstheme="minorHAnsi"/>
          <w:sz w:val="22"/>
          <w:szCs w:val="22"/>
        </w:rPr>
        <w:t>Standard 100</w:t>
      </w:r>
    </w:p>
    <w:p w:rsidR="00F3137F" w:rsidRDefault="00F3137F" w:rsidP="00EF69B4">
      <w:pPr>
        <w:pStyle w:val="ListParagraph"/>
        <w:widowControl/>
        <w:numPr>
          <w:ilvl w:val="3"/>
          <w:numId w:val="45"/>
        </w:numPr>
        <w:rPr>
          <w:rFonts w:asciiTheme="minorHAnsi" w:hAnsiTheme="minorHAnsi" w:cstheme="minorHAnsi"/>
          <w:sz w:val="22"/>
          <w:szCs w:val="22"/>
        </w:rPr>
      </w:pPr>
      <w:r>
        <w:rPr>
          <w:rFonts w:asciiTheme="minorHAnsi" w:hAnsiTheme="minorHAnsi" w:cstheme="minorHAnsi"/>
          <w:sz w:val="22"/>
          <w:szCs w:val="22"/>
        </w:rPr>
        <w:t>Guideline 14</w:t>
      </w:r>
    </w:p>
    <w:p w:rsidR="00F3137F" w:rsidRDefault="00F3137F" w:rsidP="00EF69B4">
      <w:pPr>
        <w:pStyle w:val="ListParagraph"/>
        <w:widowControl/>
        <w:numPr>
          <w:ilvl w:val="3"/>
          <w:numId w:val="45"/>
        </w:numPr>
        <w:rPr>
          <w:rFonts w:asciiTheme="minorHAnsi" w:hAnsiTheme="minorHAnsi" w:cstheme="minorHAnsi"/>
          <w:sz w:val="22"/>
          <w:szCs w:val="22"/>
        </w:rPr>
      </w:pPr>
      <w:r>
        <w:rPr>
          <w:rFonts w:asciiTheme="minorHAnsi" w:hAnsiTheme="minorHAnsi" w:cstheme="minorHAnsi"/>
          <w:sz w:val="22"/>
          <w:szCs w:val="22"/>
        </w:rPr>
        <w:t>FEMP water use tables</w:t>
      </w:r>
    </w:p>
    <w:p w:rsidR="00F3137F" w:rsidRPr="00F3137F" w:rsidRDefault="00F3137F" w:rsidP="00F3137F">
      <w:pPr>
        <w:pStyle w:val="ListParagraph"/>
        <w:widowControl/>
        <w:numPr>
          <w:ilvl w:val="3"/>
          <w:numId w:val="45"/>
        </w:numPr>
        <w:rPr>
          <w:rFonts w:asciiTheme="minorHAnsi" w:hAnsiTheme="minorHAnsi" w:cstheme="minorHAnsi"/>
          <w:sz w:val="22"/>
          <w:szCs w:val="22"/>
        </w:rPr>
      </w:pPr>
      <w:r>
        <w:rPr>
          <w:rFonts w:asciiTheme="minorHAnsi" w:hAnsiTheme="minorHAnsi" w:cstheme="minorHAnsi"/>
          <w:sz w:val="22"/>
          <w:szCs w:val="22"/>
        </w:rPr>
        <w:t>ACEEE, NRDC water resources</w:t>
      </w:r>
    </w:p>
    <w:p w:rsidR="00EF69B4" w:rsidRPr="00EF69B4" w:rsidRDefault="00EF69B4" w:rsidP="00EF69B4">
      <w:pPr>
        <w:widowControl/>
        <w:rPr>
          <w:rFonts w:asciiTheme="minorHAnsi" w:hAnsiTheme="minorHAnsi" w:cstheme="minorHAnsi"/>
          <w:sz w:val="22"/>
          <w:szCs w:val="22"/>
        </w:rPr>
      </w:pPr>
    </w:p>
    <w:p w:rsidR="00EF69B4" w:rsidRDefault="00EF69B4" w:rsidP="00EF69B4">
      <w:pPr>
        <w:pStyle w:val="ListParagraph"/>
        <w:widowControl/>
        <w:numPr>
          <w:ilvl w:val="0"/>
          <w:numId w:val="30"/>
        </w:numPr>
        <w:rPr>
          <w:rFonts w:asciiTheme="minorHAnsi" w:hAnsiTheme="minorHAnsi" w:cstheme="minorHAnsi"/>
          <w:sz w:val="22"/>
          <w:szCs w:val="22"/>
        </w:rPr>
      </w:pPr>
      <w:r w:rsidRPr="00EF69B4">
        <w:rPr>
          <w:rFonts w:asciiTheme="minorHAnsi" w:hAnsiTheme="minorHAnsi" w:cstheme="minorHAnsi"/>
          <w:sz w:val="22"/>
          <w:szCs w:val="22"/>
        </w:rPr>
        <w:t xml:space="preserve"> </w:t>
      </w:r>
      <w:r w:rsidR="00A362DB">
        <w:rPr>
          <w:rFonts w:asciiTheme="minorHAnsi" w:hAnsiTheme="minorHAnsi" w:cstheme="minorHAnsi"/>
          <w:sz w:val="22"/>
          <w:szCs w:val="22"/>
        </w:rPr>
        <w:t>Workflow planning</w:t>
      </w:r>
    </w:p>
    <w:p w:rsidR="00CB053C" w:rsidRPr="00EF69B4" w:rsidRDefault="00CB053C" w:rsidP="00CB053C">
      <w:pPr>
        <w:pStyle w:val="ListParagraph"/>
        <w:widowControl/>
        <w:numPr>
          <w:ilvl w:val="1"/>
          <w:numId w:val="30"/>
        </w:numPr>
        <w:rPr>
          <w:rFonts w:asciiTheme="minorHAnsi" w:hAnsiTheme="minorHAnsi" w:cstheme="minorHAnsi"/>
          <w:sz w:val="22"/>
          <w:szCs w:val="22"/>
        </w:rPr>
      </w:pPr>
      <w:r>
        <w:rPr>
          <w:rFonts w:asciiTheme="minorHAnsi" w:hAnsiTheme="minorHAnsi" w:cstheme="minorHAnsi"/>
          <w:sz w:val="22"/>
          <w:szCs w:val="22"/>
        </w:rPr>
        <w:t>All work will be performed through Basecamp site, we will not modify the content in the authoring portal until the TC approves the updated language in the chapters.</w:t>
      </w:r>
    </w:p>
    <w:p w:rsidR="00EF69B4" w:rsidRPr="00EF69B4" w:rsidRDefault="00A362DB" w:rsidP="00EF69B4">
      <w:pPr>
        <w:pStyle w:val="ListParagraph"/>
        <w:widowControl/>
        <w:numPr>
          <w:ilvl w:val="1"/>
          <w:numId w:val="30"/>
        </w:numPr>
        <w:rPr>
          <w:rFonts w:asciiTheme="minorHAnsi" w:hAnsiTheme="minorHAnsi" w:cstheme="minorHAnsi"/>
          <w:sz w:val="22"/>
          <w:szCs w:val="22"/>
        </w:rPr>
      </w:pPr>
      <w:r>
        <w:rPr>
          <w:rFonts w:asciiTheme="minorHAnsi" w:hAnsiTheme="minorHAnsi" w:cstheme="minorHAnsi"/>
          <w:sz w:val="22"/>
          <w:szCs w:val="22"/>
        </w:rPr>
        <w:t>Authoring.ashrae.org</w:t>
      </w:r>
    </w:p>
    <w:p w:rsidR="003E499C" w:rsidRDefault="00A362DB" w:rsidP="00D5263E">
      <w:pPr>
        <w:pStyle w:val="ListParagraph"/>
        <w:widowControl/>
        <w:numPr>
          <w:ilvl w:val="1"/>
          <w:numId w:val="30"/>
        </w:numPr>
        <w:rPr>
          <w:rFonts w:asciiTheme="minorHAnsi" w:hAnsiTheme="minorHAnsi" w:cstheme="minorHAnsi"/>
          <w:sz w:val="22"/>
          <w:szCs w:val="22"/>
        </w:rPr>
      </w:pPr>
      <w:r>
        <w:rPr>
          <w:rFonts w:asciiTheme="minorHAnsi" w:hAnsiTheme="minorHAnsi" w:cstheme="minorHAnsi"/>
          <w:sz w:val="22"/>
          <w:szCs w:val="22"/>
        </w:rPr>
        <w:t>Basecamp site</w:t>
      </w:r>
    </w:p>
    <w:p w:rsidR="00F3137F" w:rsidRDefault="00F3137F" w:rsidP="00D5263E">
      <w:pPr>
        <w:pStyle w:val="ListParagraph"/>
        <w:widowControl/>
        <w:numPr>
          <w:ilvl w:val="1"/>
          <w:numId w:val="30"/>
        </w:numPr>
        <w:rPr>
          <w:rFonts w:asciiTheme="minorHAnsi" w:hAnsiTheme="minorHAnsi" w:cstheme="minorHAnsi"/>
          <w:sz w:val="22"/>
          <w:szCs w:val="22"/>
        </w:rPr>
      </w:pPr>
      <w:r>
        <w:rPr>
          <w:rFonts w:asciiTheme="minorHAnsi" w:hAnsiTheme="minorHAnsi" w:cstheme="minorHAnsi"/>
          <w:sz w:val="22"/>
          <w:szCs w:val="22"/>
        </w:rPr>
        <w:lastRenderedPageBreak/>
        <w:t>Monthly calls / webinar working sessions will be conducted this summer and fall, a doodle poll will be sent out through Basecamp.</w:t>
      </w:r>
    </w:p>
    <w:p w:rsidR="008E7EEB" w:rsidRPr="00F3137F" w:rsidRDefault="008E7EEB" w:rsidP="00F3137F">
      <w:pPr>
        <w:pStyle w:val="ListParagraph"/>
        <w:widowControl/>
        <w:numPr>
          <w:ilvl w:val="0"/>
          <w:numId w:val="30"/>
        </w:numPr>
        <w:rPr>
          <w:rFonts w:asciiTheme="minorHAnsi" w:hAnsiTheme="minorHAnsi" w:cstheme="minorHAnsi"/>
          <w:sz w:val="22"/>
          <w:szCs w:val="22"/>
        </w:rPr>
      </w:pPr>
      <w:r>
        <w:rPr>
          <w:rFonts w:asciiTheme="minorHAnsi" w:hAnsiTheme="minorHAnsi" w:cstheme="minorHAnsi"/>
          <w:sz w:val="22"/>
          <w:szCs w:val="22"/>
        </w:rPr>
        <w:t>Programs subcommittee will put together a program topic on the changes to the chapters’ content.</w:t>
      </w:r>
      <w:bookmarkStart w:id="0" w:name="_GoBack"/>
      <w:bookmarkEnd w:id="0"/>
    </w:p>
    <w:sectPr w:rsidR="008E7EEB" w:rsidRPr="00F3137F" w:rsidSect="0012530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E4" w:rsidRDefault="00B334E4" w:rsidP="0004399A">
      <w:r>
        <w:separator/>
      </w:r>
    </w:p>
  </w:endnote>
  <w:endnote w:type="continuationSeparator" w:id="0">
    <w:p w:rsidR="00B334E4" w:rsidRDefault="00B334E4" w:rsidP="0004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E4" w:rsidRDefault="00B334E4" w:rsidP="0004399A">
      <w:r>
        <w:separator/>
      </w:r>
    </w:p>
  </w:footnote>
  <w:footnote w:type="continuationSeparator" w:id="0">
    <w:p w:rsidR="00B334E4" w:rsidRDefault="00B334E4" w:rsidP="0004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E0" w:rsidRPr="00C516EF" w:rsidRDefault="00C3091E" w:rsidP="006F48D5">
    <w:pPr>
      <w:pStyle w:val="Header"/>
      <w:rPr>
        <w:rFonts w:ascii="Calibri" w:hAnsi="Calibri"/>
        <w:sz w:val="23"/>
        <w:szCs w:val="23"/>
      </w:rPr>
    </w:pPr>
    <w:r>
      <w:rPr>
        <w:rFonts w:ascii="Calibri" w:hAnsi="Calibri"/>
        <w:sz w:val="23"/>
        <w:szCs w:val="23"/>
      </w:rPr>
      <w:t xml:space="preserve">ASHRAE TC 7.6 – </w:t>
    </w:r>
    <w:r w:rsidR="00F148E0">
      <w:rPr>
        <w:rFonts w:ascii="Calibri" w:hAnsi="Calibri"/>
        <w:sz w:val="23"/>
        <w:szCs w:val="23"/>
      </w:rPr>
      <w:t>Handbook</w:t>
    </w:r>
  </w:p>
  <w:p w:rsidR="00C3091E" w:rsidRDefault="00C3091E" w:rsidP="00C516EF">
    <w:pPr>
      <w:pStyle w:val="Header"/>
      <w:rPr>
        <w:rFonts w:ascii="Calibri" w:hAnsi="Calibri"/>
        <w:sz w:val="23"/>
        <w:szCs w:val="23"/>
      </w:rPr>
    </w:pPr>
    <w:r w:rsidRPr="00C516EF">
      <w:rPr>
        <w:rFonts w:ascii="Calibri" w:hAnsi="Calibri"/>
        <w:sz w:val="23"/>
        <w:szCs w:val="23"/>
      </w:rPr>
      <w:t xml:space="preserve">Page </w:t>
    </w:r>
    <w:r w:rsidRPr="00C516EF">
      <w:rPr>
        <w:rFonts w:ascii="Calibri" w:hAnsi="Calibri"/>
        <w:sz w:val="23"/>
        <w:szCs w:val="23"/>
      </w:rPr>
      <w:fldChar w:fldCharType="begin"/>
    </w:r>
    <w:r w:rsidRPr="00C516EF">
      <w:rPr>
        <w:rFonts w:ascii="Calibri" w:hAnsi="Calibri"/>
        <w:sz w:val="23"/>
        <w:szCs w:val="23"/>
      </w:rPr>
      <w:instrText xml:space="preserve"> PAGE </w:instrText>
    </w:r>
    <w:r w:rsidRPr="00C516EF">
      <w:rPr>
        <w:rFonts w:ascii="Calibri" w:hAnsi="Calibri"/>
        <w:sz w:val="23"/>
        <w:szCs w:val="23"/>
      </w:rPr>
      <w:fldChar w:fldCharType="separate"/>
    </w:r>
    <w:r w:rsidR="00F3137F">
      <w:rPr>
        <w:rFonts w:ascii="Calibri" w:hAnsi="Calibri"/>
        <w:noProof/>
        <w:sz w:val="23"/>
        <w:szCs w:val="23"/>
      </w:rPr>
      <w:t>3</w:t>
    </w:r>
    <w:r w:rsidRPr="00C516EF">
      <w:rPr>
        <w:rFonts w:ascii="Calibri" w:hAnsi="Calibri"/>
        <w:sz w:val="23"/>
        <w:szCs w:val="23"/>
      </w:rPr>
      <w:fldChar w:fldCharType="end"/>
    </w:r>
    <w:r w:rsidRPr="00C516EF">
      <w:rPr>
        <w:rFonts w:ascii="Calibri" w:hAnsi="Calibri"/>
        <w:sz w:val="23"/>
        <w:szCs w:val="23"/>
      </w:rPr>
      <w:t xml:space="preserve"> of </w:t>
    </w:r>
    <w:r w:rsidRPr="00C516EF">
      <w:rPr>
        <w:rFonts w:ascii="Calibri" w:hAnsi="Calibri"/>
        <w:sz w:val="23"/>
        <w:szCs w:val="23"/>
      </w:rPr>
      <w:fldChar w:fldCharType="begin"/>
    </w:r>
    <w:r w:rsidRPr="00C516EF">
      <w:rPr>
        <w:rFonts w:ascii="Calibri" w:hAnsi="Calibri"/>
        <w:sz w:val="23"/>
        <w:szCs w:val="23"/>
      </w:rPr>
      <w:instrText xml:space="preserve"> NUMPAGES  </w:instrText>
    </w:r>
    <w:r w:rsidRPr="00C516EF">
      <w:rPr>
        <w:rFonts w:ascii="Calibri" w:hAnsi="Calibri"/>
        <w:sz w:val="23"/>
        <w:szCs w:val="23"/>
      </w:rPr>
      <w:fldChar w:fldCharType="separate"/>
    </w:r>
    <w:r w:rsidR="00F3137F">
      <w:rPr>
        <w:rFonts w:ascii="Calibri" w:hAnsi="Calibri"/>
        <w:noProof/>
        <w:sz w:val="23"/>
        <w:szCs w:val="23"/>
      </w:rPr>
      <w:t>3</w:t>
    </w:r>
    <w:r w:rsidRPr="00C516EF">
      <w:rPr>
        <w:rFonts w:ascii="Calibri" w:hAnsi="Calibri"/>
        <w:sz w:val="23"/>
        <w:szCs w:val="23"/>
      </w:rPr>
      <w:fldChar w:fldCharType="end"/>
    </w:r>
  </w:p>
  <w:p w:rsidR="00C3091E" w:rsidRPr="00C516EF" w:rsidRDefault="00C3091E" w:rsidP="00C516EF">
    <w:pPr>
      <w:pStyle w:val="Header"/>
      <w:rPr>
        <w:rFonts w:ascii="Calibri" w:hAnsi="Calibri"/>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F20"/>
    <w:multiLevelType w:val="hybridMultilevel"/>
    <w:tmpl w:val="DBD658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86A"/>
    <w:multiLevelType w:val="hybridMultilevel"/>
    <w:tmpl w:val="6B08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F1468"/>
    <w:multiLevelType w:val="multilevel"/>
    <w:tmpl w:val="40D20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861B5B"/>
    <w:multiLevelType w:val="hybridMultilevel"/>
    <w:tmpl w:val="D97E5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00E0"/>
    <w:multiLevelType w:val="hybridMultilevel"/>
    <w:tmpl w:val="EFDEB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5AA9"/>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539D"/>
    <w:multiLevelType w:val="hybridMultilevel"/>
    <w:tmpl w:val="D0F8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254769"/>
    <w:multiLevelType w:val="hybridMultilevel"/>
    <w:tmpl w:val="9FD89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F2496"/>
    <w:multiLevelType w:val="hybridMultilevel"/>
    <w:tmpl w:val="84C4E49A"/>
    <w:lvl w:ilvl="0" w:tplc="E9FCEFEE">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664AB"/>
    <w:multiLevelType w:val="hybridMultilevel"/>
    <w:tmpl w:val="701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779F9"/>
    <w:multiLevelType w:val="hybridMultilevel"/>
    <w:tmpl w:val="7302A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813CA"/>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35A63"/>
    <w:multiLevelType w:val="hybridMultilevel"/>
    <w:tmpl w:val="C8944DF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842CD9"/>
    <w:multiLevelType w:val="multilevel"/>
    <w:tmpl w:val="1DBC25B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F674E5"/>
    <w:multiLevelType w:val="hybridMultilevel"/>
    <w:tmpl w:val="8DC40A1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416A1"/>
    <w:multiLevelType w:val="hybridMultilevel"/>
    <w:tmpl w:val="AE2C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881937"/>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A401D"/>
    <w:multiLevelType w:val="hybridMultilevel"/>
    <w:tmpl w:val="7302A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32D"/>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E4455"/>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10041"/>
    <w:multiLevelType w:val="hybridMultilevel"/>
    <w:tmpl w:val="91CE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914CE"/>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84940"/>
    <w:multiLevelType w:val="hybridMultilevel"/>
    <w:tmpl w:val="40BCDB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3525D7"/>
    <w:multiLevelType w:val="hybridMultilevel"/>
    <w:tmpl w:val="C0D8C87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C46077"/>
    <w:multiLevelType w:val="hybridMultilevel"/>
    <w:tmpl w:val="22C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25D3A"/>
    <w:multiLevelType w:val="hybridMultilevel"/>
    <w:tmpl w:val="4076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338F8"/>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47428"/>
    <w:multiLevelType w:val="hybridMultilevel"/>
    <w:tmpl w:val="F3163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0E4181"/>
    <w:multiLevelType w:val="hybridMultilevel"/>
    <w:tmpl w:val="7B64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9944AA7"/>
    <w:multiLevelType w:val="hybridMultilevel"/>
    <w:tmpl w:val="45F2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4141C"/>
    <w:multiLevelType w:val="hybridMultilevel"/>
    <w:tmpl w:val="7302A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731B0"/>
    <w:multiLevelType w:val="hybridMultilevel"/>
    <w:tmpl w:val="E610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C768A"/>
    <w:multiLevelType w:val="hybridMultilevel"/>
    <w:tmpl w:val="6164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33625"/>
    <w:multiLevelType w:val="hybridMultilevel"/>
    <w:tmpl w:val="E8CA4DD4"/>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AA3B7C"/>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A231D"/>
    <w:multiLevelType w:val="hybridMultilevel"/>
    <w:tmpl w:val="9FD89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14487"/>
    <w:multiLevelType w:val="hybridMultilevel"/>
    <w:tmpl w:val="891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C4905"/>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16799"/>
    <w:multiLevelType w:val="hybridMultilevel"/>
    <w:tmpl w:val="BE2AD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5014D"/>
    <w:multiLevelType w:val="hybridMultilevel"/>
    <w:tmpl w:val="C8944DF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AD6711D"/>
    <w:multiLevelType w:val="hybridMultilevel"/>
    <w:tmpl w:val="BBC0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74222"/>
    <w:multiLevelType w:val="multilevel"/>
    <w:tmpl w:val="BD0CEA9E"/>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921AE6"/>
    <w:multiLevelType w:val="hybridMultilevel"/>
    <w:tmpl w:val="AC0A9D2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E4A94"/>
    <w:multiLevelType w:val="hybridMultilevel"/>
    <w:tmpl w:val="A1F01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50CFF"/>
    <w:multiLevelType w:val="singleLevel"/>
    <w:tmpl w:val="63F07804"/>
    <w:lvl w:ilvl="0">
      <w:start w:val="1"/>
      <w:numFmt w:val="decimal"/>
      <w:lvlText w:val="%1."/>
      <w:lvlJc w:val="left"/>
      <w:pPr>
        <w:tabs>
          <w:tab w:val="num" w:pos="720"/>
        </w:tabs>
        <w:ind w:left="720" w:hanging="720"/>
      </w:pPr>
      <w:rPr>
        <w:rFonts w:hint="default"/>
      </w:rPr>
    </w:lvl>
  </w:abstractNum>
  <w:abstractNum w:abstractNumId="45" w15:restartNumberingAfterBreak="0">
    <w:nsid w:val="7D9464C6"/>
    <w:multiLevelType w:val="hybridMultilevel"/>
    <w:tmpl w:val="91CE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1"/>
  </w:num>
  <w:num w:numId="3">
    <w:abstractNumId w:val="32"/>
  </w:num>
  <w:num w:numId="4">
    <w:abstractNumId w:val="8"/>
  </w:num>
  <w:num w:numId="5">
    <w:abstractNumId w:val="23"/>
  </w:num>
  <w:num w:numId="6">
    <w:abstractNumId w:val="29"/>
  </w:num>
  <w:num w:numId="7">
    <w:abstractNumId w:val="24"/>
  </w:num>
  <w:num w:numId="8">
    <w:abstractNumId w:val="36"/>
  </w:num>
  <w:num w:numId="9">
    <w:abstractNumId w:val="0"/>
  </w:num>
  <w:num w:numId="10">
    <w:abstractNumId w:val="44"/>
  </w:num>
  <w:num w:numId="11">
    <w:abstractNumId w:val="13"/>
  </w:num>
  <w:num w:numId="12">
    <w:abstractNumId w:val="4"/>
  </w:num>
  <w:num w:numId="13">
    <w:abstractNumId w:val="1"/>
  </w:num>
  <w:num w:numId="14">
    <w:abstractNumId w:val="7"/>
  </w:num>
  <w:num w:numId="15">
    <w:abstractNumId w:val="40"/>
  </w:num>
  <w:num w:numId="16">
    <w:abstractNumId w:val="25"/>
  </w:num>
  <w:num w:numId="17">
    <w:abstractNumId w:val="17"/>
  </w:num>
  <w:num w:numId="18">
    <w:abstractNumId w:val="35"/>
  </w:num>
  <w:num w:numId="19">
    <w:abstractNumId w:val="9"/>
  </w:num>
  <w:num w:numId="20">
    <w:abstractNumId w:val="45"/>
  </w:num>
  <w:num w:numId="21">
    <w:abstractNumId w:val="20"/>
  </w:num>
  <w:num w:numId="22">
    <w:abstractNumId w:val="30"/>
  </w:num>
  <w:num w:numId="23">
    <w:abstractNumId w:val="10"/>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1"/>
  </w:num>
  <w:num w:numId="28">
    <w:abstractNumId w:val="14"/>
  </w:num>
  <w:num w:numId="29">
    <w:abstractNumId w:val="21"/>
  </w:num>
  <w:num w:numId="30">
    <w:abstractNumId w:val="34"/>
  </w:num>
  <w:num w:numId="31">
    <w:abstractNumId w:val="42"/>
  </w:num>
  <w:num w:numId="32">
    <w:abstractNumId w:val="11"/>
  </w:num>
  <w:num w:numId="3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6"/>
  </w:num>
  <w:num w:numId="36">
    <w:abstractNumId w:val="18"/>
  </w:num>
  <w:num w:numId="37">
    <w:abstractNumId w:val="16"/>
  </w:num>
  <w:num w:numId="38">
    <w:abstractNumId w:val="19"/>
  </w:num>
  <w:num w:numId="39">
    <w:abstractNumId w:val="33"/>
  </w:num>
  <w:num w:numId="40">
    <w:abstractNumId w:val="27"/>
  </w:num>
  <w:num w:numId="41">
    <w:abstractNumId w:val="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B5"/>
    <w:rsid w:val="00014385"/>
    <w:rsid w:val="000148E7"/>
    <w:rsid w:val="000203F8"/>
    <w:rsid w:val="00024EDF"/>
    <w:rsid w:val="0004399A"/>
    <w:rsid w:val="00044952"/>
    <w:rsid w:val="00047DA0"/>
    <w:rsid w:val="000572C4"/>
    <w:rsid w:val="000573AD"/>
    <w:rsid w:val="00062894"/>
    <w:rsid w:val="000635E9"/>
    <w:rsid w:val="0006458A"/>
    <w:rsid w:val="0006491A"/>
    <w:rsid w:val="00065AEA"/>
    <w:rsid w:val="000677AA"/>
    <w:rsid w:val="00080489"/>
    <w:rsid w:val="0008448E"/>
    <w:rsid w:val="00091EB8"/>
    <w:rsid w:val="000A1365"/>
    <w:rsid w:val="000A254E"/>
    <w:rsid w:val="000A6A68"/>
    <w:rsid w:val="000B4335"/>
    <w:rsid w:val="000B6880"/>
    <w:rsid w:val="000C1BB5"/>
    <w:rsid w:val="000C1D64"/>
    <w:rsid w:val="000D0DF0"/>
    <w:rsid w:val="000D362F"/>
    <w:rsid w:val="000D47F9"/>
    <w:rsid w:val="000D69D9"/>
    <w:rsid w:val="000E2ED8"/>
    <w:rsid w:val="000E5418"/>
    <w:rsid w:val="000E6B5D"/>
    <w:rsid w:val="000F249D"/>
    <w:rsid w:val="00114B20"/>
    <w:rsid w:val="00115009"/>
    <w:rsid w:val="00116E95"/>
    <w:rsid w:val="00120684"/>
    <w:rsid w:val="00120AAF"/>
    <w:rsid w:val="0012530B"/>
    <w:rsid w:val="00133B45"/>
    <w:rsid w:val="001376C0"/>
    <w:rsid w:val="00152464"/>
    <w:rsid w:val="001539C6"/>
    <w:rsid w:val="00155FE0"/>
    <w:rsid w:val="001868FA"/>
    <w:rsid w:val="0019076E"/>
    <w:rsid w:val="001924EE"/>
    <w:rsid w:val="00192BA2"/>
    <w:rsid w:val="001A5E09"/>
    <w:rsid w:val="001B2A46"/>
    <w:rsid w:val="001D6EF2"/>
    <w:rsid w:val="001D776D"/>
    <w:rsid w:val="001F17A8"/>
    <w:rsid w:val="001F21C1"/>
    <w:rsid w:val="001F63E5"/>
    <w:rsid w:val="001F7EB6"/>
    <w:rsid w:val="002002F4"/>
    <w:rsid w:val="00213B11"/>
    <w:rsid w:val="002233A1"/>
    <w:rsid w:val="00232467"/>
    <w:rsid w:val="00240416"/>
    <w:rsid w:val="00244138"/>
    <w:rsid w:val="0025132F"/>
    <w:rsid w:val="00251C58"/>
    <w:rsid w:val="002530BF"/>
    <w:rsid w:val="00253BE0"/>
    <w:rsid w:val="00264638"/>
    <w:rsid w:val="002668C9"/>
    <w:rsid w:val="00266E91"/>
    <w:rsid w:val="00272CBE"/>
    <w:rsid w:val="002735C0"/>
    <w:rsid w:val="00275B9B"/>
    <w:rsid w:val="0028267D"/>
    <w:rsid w:val="00282D61"/>
    <w:rsid w:val="00286101"/>
    <w:rsid w:val="00296F33"/>
    <w:rsid w:val="002B2BC1"/>
    <w:rsid w:val="002C02EF"/>
    <w:rsid w:val="002C3B77"/>
    <w:rsid w:val="002D1344"/>
    <w:rsid w:val="002E47B2"/>
    <w:rsid w:val="002E771A"/>
    <w:rsid w:val="002F15FD"/>
    <w:rsid w:val="002F4F82"/>
    <w:rsid w:val="002F566A"/>
    <w:rsid w:val="0031031B"/>
    <w:rsid w:val="003118D2"/>
    <w:rsid w:val="00332619"/>
    <w:rsid w:val="0033629C"/>
    <w:rsid w:val="00343A42"/>
    <w:rsid w:val="0034590C"/>
    <w:rsid w:val="00345AB1"/>
    <w:rsid w:val="003460A5"/>
    <w:rsid w:val="00352716"/>
    <w:rsid w:val="003549B0"/>
    <w:rsid w:val="00361C8B"/>
    <w:rsid w:val="003624CD"/>
    <w:rsid w:val="0036286B"/>
    <w:rsid w:val="00371188"/>
    <w:rsid w:val="00380EC9"/>
    <w:rsid w:val="00385069"/>
    <w:rsid w:val="00392725"/>
    <w:rsid w:val="00393EE1"/>
    <w:rsid w:val="0039511C"/>
    <w:rsid w:val="003958C8"/>
    <w:rsid w:val="003A0724"/>
    <w:rsid w:val="003A1D1C"/>
    <w:rsid w:val="003A4153"/>
    <w:rsid w:val="003B498C"/>
    <w:rsid w:val="003B534B"/>
    <w:rsid w:val="003B6784"/>
    <w:rsid w:val="003C3843"/>
    <w:rsid w:val="003D1C77"/>
    <w:rsid w:val="003D6858"/>
    <w:rsid w:val="003E499C"/>
    <w:rsid w:val="003F5509"/>
    <w:rsid w:val="003F5851"/>
    <w:rsid w:val="003F661C"/>
    <w:rsid w:val="00407E9F"/>
    <w:rsid w:val="0041498D"/>
    <w:rsid w:val="004152B5"/>
    <w:rsid w:val="0042517C"/>
    <w:rsid w:val="004265A2"/>
    <w:rsid w:val="004307F3"/>
    <w:rsid w:val="00435656"/>
    <w:rsid w:val="00443F0A"/>
    <w:rsid w:val="00444DC9"/>
    <w:rsid w:val="00451BF5"/>
    <w:rsid w:val="0045490A"/>
    <w:rsid w:val="00464AB8"/>
    <w:rsid w:val="00470E48"/>
    <w:rsid w:val="0047152C"/>
    <w:rsid w:val="00473F29"/>
    <w:rsid w:val="00474C98"/>
    <w:rsid w:val="00475755"/>
    <w:rsid w:val="00482BB2"/>
    <w:rsid w:val="004929CA"/>
    <w:rsid w:val="004A3F96"/>
    <w:rsid w:val="004A4270"/>
    <w:rsid w:val="004B02D7"/>
    <w:rsid w:val="004B2299"/>
    <w:rsid w:val="004B2C35"/>
    <w:rsid w:val="004B3E5F"/>
    <w:rsid w:val="004B606E"/>
    <w:rsid w:val="004C319F"/>
    <w:rsid w:val="004C6AD3"/>
    <w:rsid w:val="004F5642"/>
    <w:rsid w:val="004F6A31"/>
    <w:rsid w:val="004F762D"/>
    <w:rsid w:val="0051186A"/>
    <w:rsid w:val="00532369"/>
    <w:rsid w:val="00537C67"/>
    <w:rsid w:val="00554E41"/>
    <w:rsid w:val="00565ADC"/>
    <w:rsid w:val="00567610"/>
    <w:rsid w:val="0057308A"/>
    <w:rsid w:val="005930B7"/>
    <w:rsid w:val="00595AB6"/>
    <w:rsid w:val="005A769E"/>
    <w:rsid w:val="005C1CE8"/>
    <w:rsid w:val="005C293F"/>
    <w:rsid w:val="005D5E77"/>
    <w:rsid w:val="005E42D9"/>
    <w:rsid w:val="005E5DB0"/>
    <w:rsid w:val="005F312C"/>
    <w:rsid w:val="00600217"/>
    <w:rsid w:val="00601775"/>
    <w:rsid w:val="00601F8D"/>
    <w:rsid w:val="0060520A"/>
    <w:rsid w:val="006230A4"/>
    <w:rsid w:val="00626EB0"/>
    <w:rsid w:val="006316A6"/>
    <w:rsid w:val="0063762E"/>
    <w:rsid w:val="00637782"/>
    <w:rsid w:val="00637B23"/>
    <w:rsid w:val="00640C0E"/>
    <w:rsid w:val="0064567E"/>
    <w:rsid w:val="0065438D"/>
    <w:rsid w:val="00662EC4"/>
    <w:rsid w:val="00671915"/>
    <w:rsid w:val="00672771"/>
    <w:rsid w:val="0067305F"/>
    <w:rsid w:val="00674B80"/>
    <w:rsid w:val="00674D16"/>
    <w:rsid w:val="006758F5"/>
    <w:rsid w:val="00675A75"/>
    <w:rsid w:val="00675F6E"/>
    <w:rsid w:val="006764F0"/>
    <w:rsid w:val="00681ADF"/>
    <w:rsid w:val="00683215"/>
    <w:rsid w:val="006832F0"/>
    <w:rsid w:val="0068477F"/>
    <w:rsid w:val="00692CD0"/>
    <w:rsid w:val="00695DA3"/>
    <w:rsid w:val="00696C14"/>
    <w:rsid w:val="00697094"/>
    <w:rsid w:val="006A1547"/>
    <w:rsid w:val="006A7937"/>
    <w:rsid w:val="006B4629"/>
    <w:rsid w:val="006C1DF1"/>
    <w:rsid w:val="006D1B9F"/>
    <w:rsid w:val="006D5B74"/>
    <w:rsid w:val="006E0B08"/>
    <w:rsid w:val="006F0AC9"/>
    <w:rsid w:val="006F2993"/>
    <w:rsid w:val="006F48D5"/>
    <w:rsid w:val="00701A09"/>
    <w:rsid w:val="00710697"/>
    <w:rsid w:val="00713D78"/>
    <w:rsid w:val="00716996"/>
    <w:rsid w:val="007233A2"/>
    <w:rsid w:val="007274DE"/>
    <w:rsid w:val="00733817"/>
    <w:rsid w:val="00737225"/>
    <w:rsid w:val="00741AB4"/>
    <w:rsid w:val="00750E43"/>
    <w:rsid w:val="00761A31"/>
    <w:rsid w:val="007663A3"/>
    <w:rsid w:val="00767517"/>
    <w:rsid w:val="00767E4A"/>
    <w:rsid w:val="0077061D"/>
    <w:rsid w:val="0077304E"/>
    <w:rsid w:val="00773AC9"/>
    <w:rsid w:val="00775EBC"/>
    <w:rsid w:val="0078160D"/>
    <w:rsid w:val="00786E43"/>
    <w:rsid w:val="007871D4"/>
    <w:rsid w:val="00792AA2"/>
    <w:rsid w:val="00796A79"/>
    <w:rsid w:val="007B021B"/>
    <w:rsid w:val="007B140D"/>
    <w:rsid w:val="007C2ED5"/>
    <w:rsid w:val="007C3D0E"/>
    <w:rsid w:val="007E2632"/>
    <w:rsid w:val="007F3E79"/>
    <w:rsid w:val="0080045B"/>
    <w:rsid w:val="00800E0B"/>
    <w:rsid w:val="008011B5"/>
    <w:rsid w:val="00805B62"/>
    <w:rsid w:val="00807D88"/>
    <w:rsid w:val="0081459D"/>
    <w:rsid w:val="008152CC"/>
    <w:rsid w:val="00820AD7"/>
    <w:rsid w:val="00832F3E"/>
    <w:rsid w:val="008337D9"/>
    <w:rsid w:val="00833A8E"/>
    <w:rsid w:val="00835391"/>
    <w:rsid w:val="0084629B"/>
    <w:rsid w:val="00870333"/>
    <w:rsid w:val="00870734"/>
    <w:rsid w:val="00870BCB"/>
    <w:rsid w:val="00884AB6"/>
    <w:rsid w:val="00885CA2"/>
    <w:rsid w:val="00890E06"/>
    <w:rsid w:val="00892C34"/>
    <w:rsid w:val="0089755A"/>
    <w:rsid w:val="008A6BCF"/>
    <w:rsid w:val="008B22CF"/>
    <w:rsid w:val="008B2C22"/>
    <w:rsid w:val="008B41AE"/>
    <w:rsid w:val="008B7753"/>
    <w:rsid w:val="008D2B04"/>
    <w:rsid w:val="008D2B50"/>
    <w:rsid w:val="008D4C1D"/>
    <w:rsid w:val="008E006E"/>
    <w:rsid w:val="008E30C0"/>
    <w:rsid w:val="008E7392"/>
    <w:rsid w:val="008E76F3"/>
    <w:rsid w:val="008E7EEB"/>
    <w:rsid w:val="008F27A6"/>
    <w:rsid w:val="008F2C52"/>
    <w:rsid w:val="008F322D"/>
    <w:rsid w:val="008F5B01"/>
    <w:rsid w:val="009006F7"/>
    <w:rsid w:val="009036C6"/>
    <w:rsid w:val="009060A4"/>
    <w:rsid w:val="00914FBE"/>
    <w:rsid w:val="0093327C"/>
    <w:rsid w:val="00935DA7"/>
    <w:rsid w:val="00947BFB"/>
    <w:rsid w:val="00955021"/>
    <w:rsid w:val="00970D44"/>
    <w:rsid w:val="009756DA"/>
    <w:rsid w:val="009764C4"/>
    <w:rsid w:val="0098795B"/>
    <w:rsid w:val="0099292A"/>
    <w:rsid w:val="0099530F"/>
    <w:rsid w:val="00996DD0"/>
    <w:rsid w:val="009A1027"/>
    <w:rsid w:val="009A1211"/>
    <w:rsid w:val="009C131F"/>
    <w:rsid w:val="009C5A94"/>
    <w:rsid w:val="009C64FD"/>
    <w:rsid w:val="009D17EA"/>
    <w:rsid w:val="009D31C3"/>
    <w:rsid w:val="009D61A4"/>
    <w:rsid w:val="009E2446"/>
    <w:rsid w:val="009E6556"/>
    <w:rsid w:val="009E674C"/>
    <w:rsid w:val="009F026B"/>
    <w:rsid w:val="009F2447"/>
    <w:rsid w:val="009F2B10"/>
    <w:rsid w:val="009F5467"/>
    <w:rsid w:val="009F6962"/>
    <w:rsid w:val="00A02A16"/>
    <w:rsid w:val="00A041C4"/>
    <w:rsid w:val="00A14574"/>
    <w:rsid w:val="00A23032"/>
    <w:rsid w:val="00A2648D"/>
    <w:rsid w:val="00A305C5"/>
    <w:rsid w:val="00A30D76"/>
    <w:rsid w:val="00A33D25"/>
    <w:rsid w:val="00A362DB"/>
    <w:rsid w:val="00A43EFB"/>
    <w:rsid w:val="00A53C98"/>
    <w:rsid w:val="00A57A91"/>
    <w:rsid w:val="00A6249D"/>
    <w:rsid w:val="00A657C2"/>
    <w:rsid w:val="00A70E72"/>
    <w:rsid w:val="00A82501"/>
    <w:rsid w:val="00A92A5B"/>
    <w:rsid w:val="00A93379"/>
    <w:rsid w:val="00AA3288"/>
    <w:rsid w:val="00AB2E5B"/>
    <w:rsid w:val="00AB33DC"/>
    <w:rsid w:val="00AB46F1"/>
    <w:rsid w:val="00AB534D"/>
    <w:rsid w:val="00AE69EE"/>
    <w:rsid w:val="00B0063C"/>
    <w:rsid w:val="00B11542"/>
    <w:rsid w:val="00B262E3"/>
    <w:rsid w:val="00B30CE7"/>
    <w:rsid w:val="00B334E4"/>
    <w:rsid w:val="00B3744E"/>
    <w:rsid w:val="00B44C1C"/>
    <w:rsid w:val="00B56EB3"/>
    <w:rsid w:val="00B579E4"/>
    <w:rsid w:val="00B61EAE"/>
    <w:rsid w:val="00B9445F"/>
    <w:rsid w:val="00B9565C"/>
    <w:rsid w:val="00BA0888"/>
    <w:rsid w:val="00BA5CD3"/>
    <w:rsid w:val="00BA6B27"/>
    <w:rsid w:val="00BB3142"/>
    <w:rsid w:val="00BC1F74"/>
    <w:rsid w:val="00BC28B6"/>
    <w:rsid w:val="00BC4B80"/>
    <w:rsid w:val="00BD3742"/>
    <w:rsid w:val="00BD7CBE"/>
    <w:rsid w:val="00BE5DAD"/>
    <w:rsid w:val="00BF7826"/>
    <w:rsid w:val="00C03723"/>
    <w:rsid w:val="00C06C0D"/>
    <w:rsid w:val="00C11E15"/>
    <w:rsid w:val="00C15BD8"/>
    <w:rsid w:val="00C229BC"/>
    <w:rsid w:val="00C26F89"/>
    <w:rsid w:val="00C3007D"/>
    <w:rsid w:val="00C3091E"/>
    <w:rsid w:val="00C30F6C"/>
    <w:rsid w:val="00C47296"/>
    <w:rsid w:val="00C50DBE"/>
    <w:rsid w:val="00C516EF"/>
    <w:rsid w:val="00C52C66"/>
    <w:rsid w:val="00C5723A"/>
    <w:rsid w:val="00C661CB"/>
    <w:rsid w:val="00C726C5"/>
    <w:rsid w:val="00C73AB9"/>
    <w:rsid w:val="00C7522A"/>
    <w:rsid w:val="00C76A8C"/>
    <w:rsid w:val="00C81862"/>
    <w:rsid w:val="00C87F35"/>
    <w:rsid w:val="00C938F6"/>
    <w:rsid w:val="00C93CD1"/>
    <w:rsid w:val="00CA0103"/>
    <w:rsid w:val="00CB053C"/>
    <w:rsid w:val="00CB2EC9"/>
    <w:rsid w:val="00CB36B6"/>
    <w:rsid w:val="00CB7690"/>
    <w:rsid w:val="00CC26C8"/>
    <w:rsid w:val="00CC5FD0"/>
    <w:rsid w:val="00CD3977"/>
    <w:rsid w:val="00CE7360"/>
    <w:rsid w:val="00CE7571"/>
    <w:rsid w:val="00CF0ACA"/>
    <w:rsid w:val="00CF736F"/>
    <w:rsid w:val="00CF774E"/>
    <w:rsid w:val="00CF7D4C"/>
    <w:rsid w:val="00D0290C"/>
    <w:rsid w:val="00D17C28"/>
    <w:rsid w:val="00D22FF3"/>
    <w:rsid w:val="00D23F8A"/>
    <w:rsid w:val="00D3396F"/>
    <w:rsid w:val="00D34077"/>
    <w:rsid w:val="00D407CA"/>
    <w:rsid w:val="00D430A8"/>
    <w:rsid w:val="00D452A0"/>
    <w:rsid w:val="00D5263E"/>
    <w:rsid w:val="00D67A9C"/>
    <w:rsid w:val="00D7386C"/>
    <w:rsid w:val="00D8718F"/>
    <w:rsid w:val="00D96C90"/>
    <w:rsid w:val="00DA26E9"/>
    <w:rsid w:val="00DA3650"/>
    <w:rsid w:val="00DA5BE4"/>
    <w:rsid w:val="00DC059B"/>
    <w:rsid w:val="00DC1616"/>
    <w:rsid w:val="00DC1AA4"/>
    <w:rsid w:val="00DC2A05"/>
    <w:rsid w:val="00DC323F"/>
    <w:rsid w:val="00DD090D"/>
    <w:rsid w:val="00DD1637"/>
    <w:rsid w:val="00DD1A5F"/>
    <w:rsid w:val="00DE0543"/>
    <w:rsid w:val="00DE5C64"/>
    <w:rsid w:val="00DF2209"/>
    <w:rsid w:val="00DF4852"/>
    <w:rsid w:val="00DF5F5C"/>
    <w:rsid w:val="00E00339"/>
    <w:rsid w:val="00E008E5"/>
    <w:rsid w:val="00E10861"/>
    <w:rsid w:val="00E12311"/>
    <w:rsid w:val="00E1602B"/>
    <w:rsid w:val="00E2132E"/>
    <w:rsid w:val="00E21432"/>
    <w:rsid w:val="00E25A54"/>
    <w:rsid w:val="00E26E68"/>
    <w:rsid w:val="00E329FF"/>
    <w:rsid w:val="00E37BD5"/>
    <w:rsid w:val="00E4291B"/>
    <w:rsid w:val="00E61D8E"/>
    <w:rsid w:val="00E64C60"/>
    <w:rsid w:val="00E66CF4"/>
    <w:rsid w:val="00E70312"/>
    <w:rsid w:val="00E72F1A"/>
    <w:rsid w:val="00E74058"/>
    <w:rsid w:val="00E755F7"/>
    <w:rsid w:val="00E836BB"/>
    <w:rsid w:val="00E83B4B"/>
    <w:rsid w:val="00E84AB7"/>
    <w:rsid w:val="00E84FA0"/>
    <w:rsid w:val="00E85351"/>
    <w:rsid w:val="00E85B41"/>
    <w:rsid w:val="00E921B9"/>
    <w:rsid w:val="00E95121"/>
    <w:rsid w:val="00E97BB3"/>
    <w:rsid w:val="00EA56CD"/>
    <w:rsid w:val="00EB1B60"/>
    <w:rsid w:val="00EB3B07"/>
    <w:rsid w:val="00EB5825"/>
    <w:rsid w:val="00EB6A45"/>
    <w:rsid w:val="00EB6FC4"/>
    <w:rsid w:val="00EB7257"/>
    <w:rsid w:val="00EC0CFE"/>
    <w:rsid w:val="00EC6DBB"/>
    <w:rsid w:val="00EC7199"/>
    <w:rsid w:val="00ED15CF"/>
    <w:rsid w:val="00ED2A09"/>
    <w:rsid w:val="00ED2C3D"/>
    <w:rsid w:val="00ED666B"/>
    <w:rsid w:val="00ED6E35"/>
    <w:rsid w:val="00ED6F39"/>
    <w:rsid w:val="00EE1F3A"/>
    <w:rsid w:val="00EE3967"/>
    <w:rsid w:val="00EF69B4"/>
    <w:rsid w:val="00F05F58"/>
    <w:rsid w:val="00F070A9"/>
    <w:rsid w:val="00F148E0"/>
    <w:rsid w:val="00F15D4E"/>
    <w:rsid w:val="00F23A58"/>
    <w:rsid w:val="00F248E3"/>
    <w:rsid w:val="00F26840"/>
    <w:rsid w:val="00F3137F"/>
    <w:rsid w:val="00F35865"/>
    <w:rsid w:val="00F36D71"/>
    <w:rsid w:val="00F52765"/>
    <w:rsid w:val="00F546EA"/>
    <w:rsid w:val="00F6330B"/>
    <w:rsid w:val="00F74C7C"/>
    <w:rsid w:val="00F7763B"/>
    <w:rsid w:val="00F8604E"/>
    <w:rsid w:val="00F866CD"/>
    <w:rsid w:val="00F90B50"/>
    <w:rsid w:val="00FA3E26"/>
    <w:rsid w:val="00FB16BE"/>
    <w:rsid w:val="00FB540E"/>
    <w:rsid w:val="00FC0118"/>
    <w:rsid w:val="00FC0B8A"/>
    <w:rsid w:val="00FC1E57"/>
    <w:rsid w:val="00FC373A"/>
    <w:rsid w:val="00FD0700"/>
    <w:rsid w:val="00FD2255"/>
    <w:rsid w:val="00FD35FC"/>
    <w:rsid w:val="00FD5ED9"/>
    <w:rsid w:val="00FE3739"/>
    <w:rsid w:val="00FE5EC2"/>
    <w:rsid w:val="00FE6308"/>
    <w:rsid w:val="00FF28D0"/>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7F313-58BC-4202-8406-E4EA05B4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D1"/>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6F2993"/>
    <w:pPr>
      <w:widowControl/>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snapToGrid/>
      <w:color w:val="FFFFF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3CD1"/>
    <w:pPr>
      <w:tabs>
        <w:tab w:val="center" w:pos="4320"/>
        <w:tab w:val="right" w:pos="8640"/>
      </w:tabs>
    </w:pPr>
  </w:style>
  <w:style w:type="character" w:customStyle="1" w:styleId="HeaderChar">
    <w:name w:val="Header Char"/>
    <w:link w:val="Header"/>
    <w:rsid w:val="00C93CD1"/>
    <w:rPr>
      <w:rFonts w:ascii="Times New Roman" w:eastAsia="Times New Roman" w:hAnsi="Times New Roman" w:cs="Times New Roman"/>
      <w:snapToGrid w:val="0"/>
      <w:sz w:val="24"/>
      <w:szCs w:val="20"/>
    </w:rPr>
  </w:style>
  <w:style w:type="paragraph" w:customStyle="1" w:styleId="CcList">
    <w:name w:val="Cc List"/>
    <w:basedOn w:val="Normal"/>
    <w:rsid w:val="00C93CD1"/>
  </w:style>
  <w:style w:type="paragraph" w:styleId="Footer">
    <w:name w:val="footer"/>
    <w:basedOn w:val="Normal"/>
    <w:link w:val="FooterChar"/>
    <w:unhideWhenUsed/>
    <w:rsid w:val="0004399A"/>
    <w:pPr>
      <w:tabs>
        <w:tab w:val="center" w:pos="4680"/>
        <w:tab w:val="right" w:pos="9360"/>
      </w:tabs>
    </w:pPr>
  </w:style>
  <w:style w:type="character" w:customStyle="1" w:styleId="FooterChar">
    <w:name w:val="Footer Char"/>
    <w:link w:val="Footer"/>
    <w:uiPriority w:val="99"/>
    <w:rsid w:val="0004399A"/>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4399A"/>
    <w:rPr>
      <w:rFonts w:ascii="Tahoma" w:hAnsi="Tahoma" w:cs="Tahoma"/>
      <w:sz w:val="16"/>
      <w:szCs w:val="16"/>
    </w:rPr>
  </w:style>
  <w:style w:type="character" w:customStyle="1" w:styleId="BalloonTextChar">
    <w:name w:val="Balloon Text Char"/>
    <w:link w:val="BalloonText"/>
    <w:uiPriority w:val="99"/>
    <w:semiHidden/>
    <w:rsid w:val="0004399A"/>
    <w:rPr>
      <w:rFonts w:ascii="Tahoma" w:eastAsia="Times New Roman" w:hAnsi="Tahoma" w:cs="Tahoma"/>
      <w:snapToGrid w:val="0"/>
      <w:sz w:val="16"/>
      <w:szCs w:val="16"/>
    </w:rPr>
  </w:style>
  <w:style w:type="paragraph" w:styleId="BodyText">
    <w:name w:val="Body Text"/>
    <w:basedOn w:val="Normal"/>
    <w:link w:val="BodyTextChar"/>
    <w:rsid w:val="000572C4"/>
    <w:pPr>
      <w:spacing w:after="120"/>
    </w:pPr>
  </w:style>
  <w:style w:type="character" w:customStyle="1" w:styleId="BodyTextChar">
    <w:name w:val="Body Text Char"/>
    <w:link w:val="BodyText"/>
    <w:rsid w:val="000572C4"/>
    <w:rPr>
      <w:rFonts w:ascii="Times New Roman" w:eastAsia="Times New Roman" w:hAnsi="Times New Roman" w:cs="Times New Roman"/>
      <w:snapToGrid w:val="0"/>
      <w:sz w:val="24"/>
      <w:szCs w:val="20"/>
    </w:rPr>
  </w:style>
  <w:style w:type="paragraph" w:customStyle="1" w:styleId="Default">
    <w:name w:val="Default"/>
    <w:rsid w:val="00435656"/>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7061D"/>
    <w:pPr>
      <w:ind w:left="720"/>
      <w:contextualSpacing/>
    </w:pPr>
  </w:style>
  <w:style w:type="paragraph" w:styleId="BlockText">
    <w:name w:val="Block Text"/>
    <w:basedOn w:val="Normal"/>
    <w:rsid w:val="0078160D"/>
    <w:pPr>
      <w:ind w:left="-180" w:right="-1530"/>
      <w:jc w:val="right"/>
    </w:pPr>
    <w:rPr>
      <w:rFonts w:ascii="Arial" w:hAnsi="Arial" w:cs="Arial"/>
      <w:sz w:val="16"/>
    </w:rPr>
  </w:style>
  <w:style w:type="character" w:customStyle="1" w:styleId="Heading1Char">
    <w:name w:val="Heading 1 Char"/>
    <w:link w:val="Heading1"/>
    <w:uiPriority w:val="9"/>
    <w:rsid w:val="006F2993"/>
    <w:rPr>
      <w:rFonts w:ascii="Calibri" w:eastAsia="Times New Roman" w:hAnsi="Calibri" w:cs="Times New Roman"/>
      <w:b/>
      <w:bCs/>
      <w:caps/>
      <w:color w:val="FFFFFF"/>
      <w:spacing w:val="15"/>
      <w:sz w:val="22"/>
      <w:szCs w:val="22"/>
      <w:shd w:val="clear" w:color="auto" w:fill="4F81BD"/>
      <w:lang w:bidi="en-US"/>
    </w:rPr>
  </w:style>
  <w:style w:type="paragraph" w:styleId="Title">
    <w:name w:val="Title"/>
    <w:basedOn w:val="Normal"/>
    <w:next w:val="Normal"/>
    <w:link w:val="TitleChar"/>
    <w:uiPriority w:val="10"/>
    <w:qFormat/>
    <w:rsid w:val="006F2993"/>
    <w:pPr>
      <w:widowControl/>
      <w:spacing w:before="720" w:after="200" w:line="276" w:lineRule="auto"/>
    </w:pPr>
    <w:rPr>
      <w:rFonts w:ascii="Calibri" w:hAnsi="Calibri"/>
      <w:caps/>
      <w:snapToGrid/>
      <w:color w:val="4F81BD"/>
      <w:spacing w:val="10"/>
      <w:kern w:val="28"/>
      <w:sz w:val="52"/>
      <w:szCs w:val="52"/>
      <w:lang w:bidi="en-US"/>
    </w:rPr>
  </w:style>
  <w:style w:type="character" w:customStyle="1" w:styleId="TitleChar">
    <w:name w:val="Title Char"/>
    <w:link w:val="Title"/>
    <w:uiPriority w:val="10"/>
    <w:rsid w:val="006F2993"/>
    <w:rPr>
      <w:rFonts w:ascii="Calibri" w:eastAsia="Times New Roman" w:hAnsi="Calibri" w:cs="Times New Roman"/>
      <w:caps/>
      <w:color w:val="4F81BD"/>
      <w:spacing w:val="10"/>
      <w:kern w:val="28"/>
      <w:sz w:val="52"/>
      <w:szCs w:val="52"/>
      <w:lang w:bidi="en-US"/>
    </w:rPr>
  </w:style>
  <w:style w:type="character" w:styleId="CommentReference">
    <w:name w:val="annotation reference"/>
    <w:uiPriority w:val="99"/>
    <w:semiHidden/>
    <w:unhideWhenUsed/>
    <w:rsid w:val="006F2993"/>
    <w:rPr>
      <w:sz w:val="16"/>
      <w:szCs w:val="16"/>
    </w:rPr>
  </w:style>
  <w:style w:type="paragraph" w:styleId="CommentText">
    <w:name w:val="annotation text"/>
    <w:basedOn w:val="Normal"/>
    <w:link w:val="CommentTextChar"/>
    <w:uiPriority w:val="99"/>
    <w:semiHidden/>
    <w:unhideWhenUsed/>
    <w:rsid w:val="006F2993"/>
    <w:pPr>
      <w:widowControl/>
      <w:spacing w:before="200" w:after="200"/>
    </w:pPr>
    <w:rPr>
      <w:rFonts w:ascii="Calibri" w:hAnsi="Calibri"/>
      <w:snapToGrid/>
      <w:sz w:val="20"/>
      <w:lang w:bidi="en-US"/>
    </w:rPr>
  </w:style>
  <w:style w:type="character" w:customStyle="1" w:styleId="CommentTextChar">
    <w:name w:val="Comment Text Char"/>
    <w:link w:val="CommentText"/>
    <w:uiPriority w:val="99"/>
    <w:semiHidden/>
    <w:rsid w:val="006F2993"/>
    <w:rPr>
      <w:rFonts w:ascii="Calibri" w:eastAsia="Times New Roman" w:hAnsi="Calibri" w:cs="Times New Roman"/>
      <w:lang w:bidi="en-US"/>
    </w:rPr>
  </w:style>
  <w:style w:type="character" w:styleId="IntenseEmphasis">
    <w:name w:val="Intense Emphasis"/>
    <w:uiPriority w:val="21"/>
    <w:qFormat/>
    <w:rsid w:val="00E2132E"/>
    <w:rPr>
      <w:b/>
      <w:bCs/>
      <w:i/>
      <w:iCs/>
      <w:color w:val="4F81BD"/>
    </w:rPr>
  </w:style>
  <w:style w:type="character" w:styleId="Strong">
    <w:name w:val="Strong"/>
    <w:uiPriority w:val="22"/>
    <w:qFormat/>
    <w:rsid w:val="00E2132E"/>
    <w:rPr>
      <w:b/>
      <w:bCs/>
    </w:rPr>
  </w:style>
  <w:style w:type="paragraph" w:styleId="NormalWeb">
    <w:name w:val="Normal (Web)"/>
    <w:basedOn w:val="Normal"/>
    <w:uiPriority w:val="99"/>
    <w:semiHidden/>
    <w:unhideWhenUsed/>
    <w:rsid w:val="009F026B"/>
    <w:pPr>
      <w:widowControl/>
      <w:spacing w:after="15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5710">
      <w:bodyDiv w:val="1"/>
      <w:marLeft w:val="0"/>
      <w:marRight w:val="0"/>
      <w:marTop w:val="0"/>
      <w:marBottom w:val="0"/>
      <w:divBdr>
        <w:top w:val="none" w:sz="0" w:space="0" w:color="auto"/>
        <w:left w:val="none" w:sz="0" w:space="0" w:color="auto"/>
        <w:bottom w:val="none" w:sz="0" w:space="0" w:color="auto"/>
        <w:right w:val="none" w:sz="0" w:space="0" w:color="auto"/>
      </w:divBdr>
      <w:divsChild>
        <w:div w:id="1613128037">
          <w:marLeft w:val="0"/>
          <w:marRight w:val="0"/>
          <w:marTop w:val="0"/>
          <w:marBottom w:val="0"/>
          <w:divBdr>
            <w:top w:val="none" w:sz="0" w:space="0" w:color="auto"/>
            <w:left w:val="none" w:sz="0" w:space="0" w:color="auto"/>
            <w:bottom w:val="none" w:sz="0" w:space="0" w:color="auto"/>
            <w:right w:val="none" w:sz="0" w:space="0" w:color="auto"/>
          </w:divBdr>
          <w:divsChild>
            <w:div w:id="1803032633">
              <w:marLeft w:val="0"/>
              <w:marRight w:val="0"/>
              <w:marTop w:val="0"/>
              <w:marBottom w:val="0"/>
              <w:divBdr>
                <w:top w:val="none" w:sz="0" w:space="0" w:color="auto"/>
                <w:left w:val="none" w:sz="0" w:space="0" w:color="auto"/>
                <w:bottom w:val="none" w:sz="0" w:space="0" w:color="auto"/>
                <w:right w:val="none" w:sz="0" w:space="0" w:color="auto"/>
              </w:divBdr>
              <w:divsChild>
                <w:div w:id="2110347643">
                  <w:marLeft w:val="0"/>
                  <w:marRight w:val="0"/>
                  <w:marTop w:val="0"/>
                  <w:marBottom w:val="0"/>
                  <w:divBdr>
                    <w:top w:val="none" w:sz="0" w:space="0" w:color="auto"/>
                    <w:left w:val="none" w:sz="0" w:space="0" w:color="auto"/>
                    <w:bottom w:val="none" w:sz="0" w:space="0" w:color="auto"/>
                    <w:right w:val="none" w:sz="0" w:space="0" w:color="auto"/>
                  </w:divBdr>
                  <w:divsChild>
                    <w:div w:id="1273703767">
                      <w:marLeft w:val="0"/>
                      <w:marRight w:val="0"/>
                      <w:marTop w:val="0"/>
                      <w:marBottom w:val="0"/>
                      <w:divBdr>
                        <w:top w:val="none" w:sz="0" w:space="0" w:color="auto"/>
                        <w:left w:val="none" w:sz="0" w:space="0" w:color="auto"/>
                        <w:bottom w:val="none" w:sz="0" w:space="0" w:color="auto"/>
                        <w:right w:val="none" w:sz="0" w:space="0" w:color="auto"/>
                      </w:divBdr>
                      <w:divsChild>
                        <w:div w:id="16899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37350">
      <w:bodyDiv w:val="1"/>
      <w:marLeft w:val="0"/>
      <w:marRight w:val="0"/>
      <w:marTop w:val="0"/>
      <w:marBottom w:val="0"/>
      <w:divBdr>
        <w:top w:val="none" w:sz="0" w:space="0" w:color="auto"/>
        <w:left w:val="none" w:sz="0" w:space="0" w:color="auto"/>
        <w:bottom w:val="none" w:sz="0" w:space="0" w:color="auto"/>
        <w:right w:val="none" w:sz="0" w:space="0" w:color="auto"/>
      </w:divBdr>
    </w:div>
    <w:div w:id="953488008">
      <w:bodyDiv w:val="1"/>
      <w:marLeft w:val="0"/>
      <w:marRight w:val="0"/>
      <w:marTop w:val="0"/>
      <w:marBottom w:val="0"/>
      <w:divBdr>
        <w:top w:val="none" w:sz="0" w:space="0" w:color="auto"/>
        <w:left w:val="none" w:sz="0" w:space="0" w:color="auto"/>
        <w:bottom w:val="none" w:sz="0" w:space="0" w:color="auto"/>
        <w:right w:val="none" w:sz="0" w:space="0" w:color="auto"/>
      </w:divBdr>
    </w:div>
    <w:div w:id="1404372635">
      <w:bodyDiv w:val="1"/>
      <w:marLeft w:val="0"/>
      <w:marRight w:val="0"/>
      <w:marTop w:val="0"/>
      <w:marBottom w:val="0"/>
      <w:divBdr>
        <w:top w:val="none" w:sz="0" w:space="0" w:color="auto"/>
        <w:left w:val="none" w:sz="0" w:space="0" w:color="auto"/>
        <w:bottom w:val="none" w:sz="0" w:space="0" w:color="auto"/>
        <w:right w:val="none" w:sz="0" w:space="0" w:color="auto"/>
      </w:divBdr>
    </w:div>
    <w:div w:id="19381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5093-8B54-435B-B0FD-DE4CBEAF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EMC Engineers, Inc.</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Boyd</dc:creator>
  <cp:lastModifiedBy>Nathaniel Boyd</cp:lastModifiedBy>
  <cp:revision>5</cp:revision>
  <cp:lastPrinted>2015-06-24T18:47:00Z</cp:lastPrinted>
  <dcterms:created xsi:type="dcterms:W3CDTF">2017-06-26T22:28:00Z</dcterms:created>
  <dcterms:modified xsi:type="dcterms:W3CDTF">2017-06-26T22:41:00Z</dcterms:modified>
</cp:coreProperties>
</file>