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3" w:type="dxa"/>
        <w:tblInd w:w="1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861"/>
      </w:tblGrid>
      <w:tr w:rsidR="00C07907" w14:paraId="39F5A384" w14:textId="77777777" w:rsidTr="005B26AD">
        <w:trPr>
          <w:trHeight w:val="433"/>
        </w:trPr>
        <w:tc>
          <w:tcPr>
            <w:tcW w:w="1872" w:type="dxa"/>
            <w:vMerge w:val="restart"/>
            <w:tcBorders>
              <w:top w:val="nil"/>
            </w:tcBorders>
          </w:tcPr>
          <w:p w14:paraId="51C8678D" w14:textId="77777777" w:rsidR="00C07907" w:rsidRDefault="00C07907" w:rsidP="00B960E0">
            <w:pPr>
              <w:rPr>
                <w:rFonts w:ascii="Arial" w:hAnsi="Arial"/>
              </w:rPr>
            </w:pPr>
            <w:r w:rsidRPr="00E3346A">
              <w:rPr>
                <w:rFonts w:ascii="Arial" w:hAnsi="Arial"/>
                <w:noProof/>
              </w:rPr>
              <w:drawing>
                <wp:inline distT="0" distB="0" distL="0" distR="0" wp14:anchorId="11B78DFC" wp14:editId="49CEB890">
                  <wp:extent cx="971550" cy="666750"/>
                  <wp:effectExtent l="0" t="0" r="0" b="0"/>
                  <wp:docPr id="1" name="Picture 1" descr="logo_ashr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shr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tcBorders>
              <w:top w:val="nil"/>
            </w:tcBorders>
          </w:tcPr>
          <w:p w14:paraId="103964A4" w14:textId="77777777" w:rsidR="00C07907" w:rsidRDefault="00C07907" w:rsidP="00B960E0">
            <w:pPr>
              <w:ind w:left="-183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Agenda</w:t>
            </w:r>
          </w:p>
          <w:p w14:paraId="04D6A7F2" w14:textId="77777777" w:rsidR="00C07907" w:rsidRDefault="00C07907" w:rsidP="00B960E0">
            <w:pPr>
              <w:ind w:left="-1830"/>
              <w:rPr>
                <w:rFonts w:ascii="Arial" w:hAnsi="Arial"/>
              </w:rPr>
            </w:pPr>
          </w:p>
        </w:tc>
      </w:tr>
      <w:tr w:rsidR="00C07907" w:rsidRPr="002D30DF" w14:paraId="2CEC6654" w14:textId="77777777" w:rsidTr="005B26AD">
        <w:trPr>
          <w:trHeight w:val="791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1F8EC610" w14:textId="77777777" w:rsidR="00C07907" w:rsidRDefault="00C07907" w:rsidP="00B960E0">
            <w:pPr>
              <w:rPr>
                <w:rFonts w:ascii="Arial" w:hAnsi="Arial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5E01C2D7" w14:textId="2F848CC7" w:rsidR="000B4158" w:rsidRDefault="005C1BBD" w:rsidP="005B26AD">
            <w:pPr>
              <w:pStyle w:val="Heading4"/>
              <w:ind w:left="-18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</w:t>
            </w:r>
            <w:r w:rsidR="005B26AD">
              <w:rPr>
                <w:rFonts w:ascii="Arial" w:hAnsi="Arial"/>
              </w:rPr>
              <w:t xml:space="preserve">     </w:t>
            </w:r>
            <w:r w:rsidR="00C07907" w:rsidRPr="00B470FE">
              <w:rPr>
                <w:rFonts w:ascii="Arial" w:hAnsi="Arial"/>
              </w:rPr>
              <w:t>TC 7.5</w:t>
            </w:r>
            <w:r w:rsidR="00C07907">
              <w:rPr>
                <w:rFonts w:ascii="Arial" w:hAnsi="Arial"/>
              </w:rPr>
              <w:t xml:space="preserve"> Fault Detection and Diagnostics</w:t>
            </w:r>
            <w:r w:rsidR="000B4158">
              <w:rPr>
                <w:rFonts w:ascii="Arial" w:hAnsi="Arial"/>
              </w:rPr>
              <w:t xml:space="preserve"> </w:t>
            </w:r>
          </w:p>
          <w:p w14:paraId="7A4752A0" w14:textId="77777777" w:rsidR="000B4158" w:rsidRDefault="000B4158" w:rsidP="005C1BBD">
            <w:pPr>
              <w:rPr>
                <w:rFonts w:ascii="Arial" w:hAnsi="Arial"/>
              </w:rPr>
            </w:pPr>
          </w:p>
          <w:p w14:paraId="3AFA82D6" w14:textId="60C2F6F7" w:rsidR="005C1BBD" w:rsidRDefault="005B26AD" w:rsidP="005B2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E811EC">
              <w:rPr>
                <w:rFonts w:ascii="Arial" w:hAnsi="Arial"/>
              </w:rPr>
              <w:t>Sunday</w:t>
            </w:r>
            <w:r w:rsidR="0020711E">
              <w:rPr>
                <w:rFonts w:ascii="Arial" w:hAnsi="Arial"/>
              </w:rPr>
              <w:t>,</w:t>
            </w:r>
            <w:r w:rsidR="00E811EC">
              <w:rPr>
                <w:rFonts w:ascii="Arial" w:hAnsi="Arial"/>
              </w:rPr>
              <w:t xml:space="preserve"> </w:t>
            </w:r>
            <w:r w:rsidR="000037E6">
              <w:rPr>
                <w:rFonts w:ascii="Arial" w:hAnsi="Arial"/>
              </w:rPr>
              <w:t>6/26</w:t>
            </w:r>
            <w:r w:rsidR="000B4158">
              <w:rPr>
                <w:rFonts w:ascii="Arial" w:hAnsi="Arial"/>
              </w:rPr>
              <w:t>/2022</w:t>
            </w:r>
            <w:r w:rsidR="0020711E">
              <w:rPr>
                <w:rFonts w:ascii="Arial" w:hAnsi="Arial"/>
              </w:rPr>
              <w:t xml:space="preserve"> @</w:t>
            </w:r>
            <w:r w:rsidR="00E811EC">
              <w:rPr>
                <w:rFonts w:ascii="Arial" w:hAnsi="Arial"/>
              </w:rPr>
              <w:t xml:space="preserve"> </w:t>
            </w:r>
            <w:r w:rsidR="000037E6">
              <w:rPr>
                <w:rFonts w:ascii="Arial" w:hAnsi="Arial"/>
              </w:rPr>
              <w:t>3:00</w:t>
            </w:r>
            <w:r w:rsidR="00E811EC" w:rsidRPr="005C1BBD">
              <w:rPr>
                <w:rFonts w:ascii="Arial" w:hAnsi="Arial"/>
              </w:rPr>
              <w:t xml:space="preserve"> PM– </w:t>
            </w:r>
            <w:r w:rsidR="00E811EC">
              <w:rPr>
                <w:rFonts w:ascii="Arial" w:hAnsi="Arial"/>
              </w:rPr>
              <w:t>3:</w:t>
            </w:r>
            <w:r w:rsidR="000037E6">
              <w:rPr>
                <w:rFonts w:ascii="Arial" w:hAnsi="Arial"/>
              </w:rPr>
              <w:t>45</w:t>
            </w:r>
            <w:r w:rsidR="00E811EC" w:rsidRPr="005C1BBD">
              <w:rPr>
                <w:rFonts w:ascii="Arial" w:hAnsi="Arial"/>
              </w:rPr>
              <w:t xml:space="preserve"> PM</w:t>
            </w:r>
            <w:r w:rsidR="00E811EC">
              <w:rPr>
                <w:rFonts w:ascii="Arial" w:hAnsi="Arial"/>
              </w:rPr>
              <w:t xml:space="preserve"> </w:t>
            </w:r>
            <w:r w:rsidR="001C796B">
              <w:rPr>
                <w:rFonts w:ascii="Arial" w:hAnsi="Arial"/>
              </w:rPr>
              <w:t>EDT</w:t>
            </w:r>
          </w:p>
          <w:p w14:paraId="34EF1A74" w14:textId="77777777" w:rsidR="00F759B2" w:rsidRDefault="00F759B2" w:rsidP="005B26AD">
            <w:pPr>
              <w:rPr>
                <w:rFonts w:ascii="Arial" w:hAnsi="Arial"/>
              </w:rPr>
            </w:pPr>
          </w:p>
          <w:p w14:paraId="79361290" w14:textId="219BDF73" w:rsidR="00BE6E16" w:rsidRPr="00BE6E16" w:rsidRDefault="00F759B2" w:rsidP="00BE6E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BE6E16">
              <w:rPr>
                <w:rFonts w:ascii="Arial" w:hAnsi="Arial"/>
              </w:rPr>
              <w:t>Microsoft Team</w:t>
            </w:r>
            <w:r>
              <w:rPr>
                <w:rFonts w:ascii="Arial" w:hAnsi="Arial"/>
              </w:rPr>
              <w:t xml:space="preserve">: </w:t>
            </w:r>
            <w:hyperlink r:id="rId8" w:tgtFrame="_blank" w:history="1">
              <w:r w:rsidR="00BE6E16" w:rsidRPr="00BE6E16">
                <w:rPr>
                  <w:rStyle w:val="Hyperlink"/>
                  <w:rFonts w:ascii="Segoe UI Semibold" w:hAnsi="Segoe UI Semibold" w:cs="Segoe UI Semibold"/>
                  <w:color w:val="6264A7"/>
                </w:rPr>
                <w:t>Click here to join the meeting</w:t>
              </w:r>
            </w:hyperlink>
            <w:r w:rsidR="00BE6E16" w:rsidRPr="00BE6E16">
              <w:rPr>
                <w:rFonts w:ascii="Segoe UI" w:hAnsi="Segoe UI" w:cs="Segoe UI"/>
                <w:color w:val="252424"/>
                <w:sz w:val="32"/>
                <w:szCs w:val="32"/>
              </w:rPr>
              <w:t xml:space="preserve"> </w:t>
            </w:r>
          </w:p>
          <w:p w14:paraId="2A7326D5" w14:textId="101C7926" w:rsidR="00BE6E16" w:rsidRDefault="00BE6E16" w:rsidP="00BE6E16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       </w:t>
            </w:r>
            <w:r w:rsidRPr="00BE6E16">
              <w:rPr>
                <w:rFonts w:ascii="Arial" w:hAnsi="Arial"/>
              </w:rPr>
              <w:t xml:space="preserve"> Meeting ID: 212 188 389 10 </w:t>
            </w:r>
            <w:r w:rsidRPr="00BE6E16">
              <w:rPr>
                <w:rFonts w:ascii="Arial" w:hAnsi="Arial"/>
              </w:rPr>
              <w:br/>
              <w:t xml:space="preserve">        Passcode: MqUeta </w:t>
            </w:r>
          </w:p>
          <w:p w14:paraId="3BB38E78" w14:textId="3E6FB98B" w:rsidR="00BE6E16" w:rsidRDefault="00BE6E16" w:rsidP="00BE6E16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6FFB7F99" w14:textId="77777777" w:rsidR="00BE6E16" w:rsidRDefault="00BE6E16" w:rsidP="005B26AD">
            <w:pPr>
              <w:rPr>
                <w:rFonts w:ascii="Arial" w:hAnsi="Arial"/>
              </w:rPr>
            </w:pPr>
          </w:p>
          <w:p w14:paraId="3C7B28E6" w14:textId="77777777" w:rsidR="00533192" w:rsidRDefault="00533192" w:rsidP="00B960E0">
            <w:pPr>
              <w:ind w:left="-1830"/>
              <w:jc w:val="center"/>
              <w:rPr>
                <w:rFonts w:ascii="Arial" w:hAnsi="Arial"/>
              </w:rPr>
            </w:pPr>
          </w:p>
          <w:p w14:paraId="6AFAA72D" w14:textId="3E4D7BC9" w:rsidR="00C07907" w:rsidRDefault="00C07907" w:rsidP="00533192">
            <w:pPr>
              <w:ind w:left="-1830"/>
              <w:jc w:val="center"/>
              <w:rPr>
                <w:rFonts w:ascii="Arial" w:hAnsi="Arial"/>
              </w:rPr>
            </w:pPr>
            <w:r w:rsidRPr="00CB4858">
              <w:rPr>
                <w:b/>
                <w:sz w:val="22"/>
                <w:szCs w:val="22"/>
              </w:rPr>
              <w:t>Prepared by Liping Wang</w:t>
            </w:r>
          </w:p>
        </w:tc>
      </w:tr>
    </w:tbl>
    <w:p w14:paraId="041E7D76" w14:textId="055E1631" w:rsidR="00C07907" w:rsidRDefault="00C07907" w:rsidP="00C07907">
      <w:pPr>
        <w:spacing w:line="240" w:lineRule="exact"/>
        <w:rPr>
          <w:sz w:val="22"/>
          <w:szCs w:val="22"/>
        </w:rPr>
      </w:pPr>
      <w:r w:rsidRPr="00CB4858">
        <w:rPr>
          <w:b/>
          <w:sz w:val="22"/>
          <w:szCs w:val="22"/>
        </w:rPr>
        <w:t>Subcommittee Scope:</w:t>
      </w:r>
      <w:r w:rsidRPr="00CB4858">
        <w:rPr>
          <w:sz w:val="22"/>
          <w:szCs w:val="22"/>
        </w:rPr>
        <w:t xml:space="preserve"> explore and develop technologies to detect and diagno</w:t>
      </w:r>
      <w:r w:rsidR="00533192" w:rsidRPr="00CB4858">
        <w:rPr>
          <w:sz w:val="22"/>
          <w:szCs w:val="22"/>
        </w:rPr>
        <w:t>se</w:t>
      </w:r>
      <w:r w:rsidRPr="00CB4858">
        <w:rPr>
          <w:sz w:val="22"/>
          <w:szCs w:val="22"/>
        </w:rPr>
        <w:t xml:space="preserve"> common faults in both commercial and residential buildings.  The scope of this subcommittee includes (a) identifying and sponsoring research projects to develop new FDD technologies, evaluate existing FDD technologies; provide recommendations to building operators and practical engineers</w:t>
      </w:r>
      <w:r w:rsidR="00EE7CF1" w:rsidRPr="00CB4858">
        <w:rPr>
          <w:sz w:val="22"/>
          <w:szCs w:val="22"/>
        </w:rPr>
        <w:t>,</w:t>
      </w:r>
      <w:r w:rsidRPr="00CB4858">
        <w:rPr>
          <w:sz w:val="22"/>
          <w:szCs w:val="22"/>
        </w:rPr>
        <w:t xml:space="preserve"> and develop supporting tools for researchers in FDD areas</w:t>
      </w:r>
      <w:r w:rsidR="00EE7CF1" w:rsidRPr="00CB4858">
        <w:rPr>
          <w:sz w:val="22"/>
          <w:szCs w:val="22"/>
        </w:rPr>
        <w:t>,</w:t>
      </w:r>
      <w:r w:rsidRPr="00CB4858">
        <w:rPr>
          <w:sz w:val="22"/>
          <w:szCs w:val="22"/>
        </w:rPr>
        <w:t xml:space="preserve"> and b) organizing programs to disseminate research findings and advancements in FDD areas among ASHRAE members. </w:t>
      </w:r>
    </w:p>
    <w:p w14:paraId="0585FAE5" w14:textId="7FF6D34B" w:rsidR="00275760" w:rsidRDefault="00275760" w:rsidP="00C07907">
      <w:pPr>
        <w:spacing w:line="240" w:lineRule="exact"/>
        <w:rPr>
          <w:sz w:val="22"/>
          <w:szCs w:val="22"/>
        </w:rPr>
      </w:pPr>
    </w:p>
    <w:p w14:paraId="76A6FAA2" w14:textId="77777777" w:rsidR="00C07907" w:rsidRPr="00AC0DB3" w:rsidRDefault="00C07907" w:rsidP="00C0790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Agenda: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2"/>
        <w:gridCol w:w="5396"/>
        <w:gridCol w:w="2795"/>
      </w:tblGrid>
      <w:tr w:rsidR="00C07907" w:rsidRPr="00621CB5" w14:paraId="3DC82D3A" w14:textId="77777777" w:rsidTr="000B12AF">
        <w:tc>
          <w:tcPr>
            <w:tcW w:w="1112" w:type="dxa"/>
            <w:vAlign w:val="center"/>
          </w:tcPr>
          <w:p w14:paraId="7EEA08F1" w14:textId="77777777" w:rsidR="00C07907" w:rsidRPr="00621CB5" w:rsidRDefault="00C07907" w:rsidP="00B960E0">
            <w:pPr>
              <w:snapToGrid w:val="0"/>
              <w:ind w:left="12"/>
              <w:rPr>
                <w:sz w:val="22"/>
                <w:szCs w:val="22"/>
              </w:rPr>
            </w:pPr>
            <w:r w:rsidRPr="00621CB5">
              <w:rPr>
                <w:sz w:val="22"/>
                <w:szCs w:val="22"/>
              </w:rPr>
              <w:t>0:00</w:t>
            </w:r>
          </w:p>
        </w:tc>
        <w:tc>
          <w:tcPr>
            <w:tcW w:w="5396" w:type="dxa"/>
            <w:vAlign w:val="center"/>
          </w:tcPr>
          <w:p w14:paraId="7365FB8F" w14:textId="77777777" w:rsidR="00C07907" w:rsidRPr="009A549E" w:rsidRDefault="00C07907" w:rsidP="00B960E0">
            <w:pPr>
              <w:snapToGrid w:val="0"/>
              <w:rPr>
                <w:b/>
                <w:sz w:val="22"/>
                <w:szCs w:val="22"/>
              </w:rPr>
            </w:pPr>
            <w:r w:rsidRPr="009A549E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2795" w:type="dxa"/>
            <w:vAlign w:val="center"/>
          </w:tcPr>
          <w:p w14:paraId="2A70A073" w14:textId="77777777" w:rsidR="00C07907" w:rsidRPr="00621CB5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C07907" w:rsidRPr="00621CB5" w14:paraId="0ABC6D5E" w14:textId="77777777" w:rsidTr="000B12AF">
        <w:trPr>
          <w:trHeight w:val="210"/>
        </w:trPr>
        <w:tc>
          <w:tcPr>
            <w:tcW w:w="1112" w:type="dxa"/>
            <w:vAlign w:val="center"/>
          </w:tcPr>
          <w:p w14:paraId="437BCE8E" w14:textId="77777777" w:rsidR="00C07907" w:rsidRPr="00621CB5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7FAFF82C" w14:textId="474F8DFE" w:rsidR="00C07907" w:rsidRPr="00621CB5" w:rsidRDefault="007A46AB" w:rsidP="00B960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</w:t>
            </w:r>
            <w:r w:rsidR="00C07907" w:rsidRPr="00621CB5">
              <w:rPr>
                <w:rFonts w:hint="eastAsia"/>
                <w:sz w:val="22"/>
                <w:szCs w:val="22"/>
              </w:rPr>
              <w:t>-introduction, announce the subcommittee scope.</w:t>
            </w:r>
          </w:p>
        </w:tc>
        <w:tc>
          <w:tcPr>
            <w:tcW w:w="2795" w:type="dxa"/>
            <w:vAlign w:val="center"/>
          </w:tcPr>
          <w:p w14:paraId="1CD0A0FB" w14:textId="77777777" w:rsidR="00C07907" w:rsidRPr="00621CB5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C07907" w:rsidRPr="00621CB5" w14:paraId="537E234E" w14:textId="77777777" w:rsidTr="000B12AF">
        <w:tc>
          <w:tcPr>
            <w:tcW w:w="1112" w:type="dxa"/>
            <w:vAlign w:val="center"/>
          </w:tcPr>
          <w:p w14:paraId="79BC5AC1" w14:textId="14E42D79" w:rsidR="00C07907" w:rsidRDefault="000B4158" w:rsidP="00B960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5DD5">
              <w:rPr>
                <w:sz w:val="22"/>
                <w:szCs w:val="22"/>
              </w:rPr>
              <w:t xml:space="preserve"> mins</w:t>
            </w:r>
          </w:p>
        </w:tc>
        <w:tc>
          <w:tcPr>
            <w:tcW w:w="5396" w:type="dxa"/>
            <w:vAlign w:val="center"/>
          </w:tcPr>
          <w:p w14:paraId="49F29360" w14:textId="77777777" w:rsidR="00C07907" w:rsidRPr="001B505E" w:rsidRDefault="00C07907" w:rsidP="00B960E0">
            <w:pPr>
              <w:spacing w:line="240" w:lineRule="exact"/>
              <w:ind w:right="-720"/>
              <w:rPr>
                <w:b/>
              </w:rPr>
            </w:pPr>
            <w:r w:rsidRPr="00D3133F">
              <w:rPr>
                <w:b/>
              </w:rPr>
              <w:t>Sessions at current ASHARE conference</w:t>
            </w:r>
          </w:p>
        </w:tc>
        <w:tc>
          <w:tcPr>
            <w:tcW w:w="2795" w:type="dxa"/>
            <w:vAlign w:val="center"/>
          </w:tcPr>
          <w:p w14:paraId="7A0CAE0D" w14:textId="77777777" w:rsidR="00C07907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317CF3" w:rsidRPr="00621CB5" w14:paraId="2AD2558E" w14:textId="77777777" w:rsidTr="000B12AF">
        <w:trPr>
          <w:trHeight w:val="1488"/>
        </w:trPr>
        <w:tc>
          <w:tcPr>
            <w:tcW w:w="1112" w:type="dxa"/>
            <w:vMerge w:val="restart"/>
            <w:vAlign w:val="center"/>
          </w:tcPr>
          <w:p w14:paraId="1F584318" w14:textId="745D5BD0" w:rsidR="00317CF3" w:rsidRDefault="00317CF3" w:rsidP="00B960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1EF5E772" w14:textId="77777777" w:rsidR="00317CF3" w:rsidRDefault="00317CF3" w:rsidP="00A75DD5">
            <w:pPr>
              <w:rPr>
                <w:sz w:val="22"/>
                <w:szCs w:val="22"/>
              </w:rPr>
            </w:pPr>
            <w:r w:rsidRPr="00F1082D">
              <w:rPr>
                <w:sz w:val="22"/>
                <w:szCs w:val="22"/>
              </w:rPr>
              <w:t xml:space="preserve">Sunday, June 26, 1:30 PM - 3:00 PM </w:t>
            </w:r>
          </w:p>
          <w:p w14:paraId="26396A72" w14:textId="48A28C87" w:rsidR="00317CF3" w:rsidRPr="00F1082D" w:rsidRDefault="00317CF3" w:rsidP="00A75DD5">
            <w:pPr>
              <w:rPr>
                <w:sz w:val="22"/>
                <w:szCs w:val="22"/>
              </w:rPr>
            </w:pPr>
            <w:r w:rsidRPr="00F1082D">
              <w:rPr>
                <w:sz w:val="22"/>
                <w:szCs w:val="22"/>
              </w:rPr>
              <w:t>Conference Paper Session 7</w:t>
            </w:r>
          </w:p>
          <w:p w14:paraId="13BB6A19" w14:textId="77777777" w:rsidR="00317CF3" w:rsidRDefault="00317CF3" w:rsidP="00A75DD5">
            <w:pPr>
              <w:rPr>
                <w:sz w:val="22"/>
                <w:szCs w:val="22"/>
              </w:rPr>
            </w:pPr>
            <w:r w:rsidRPr="00F1082D">
              <w:rPr>
                <w:sz w:val="22"/>
                <w:szCs w:val="22"/>
              </w:rPr>
              <w:t>Sensors and Airflow Controls: Making Buildings Smarter through Data and Controls</w:t>
            </w:r>
            <w:r>
              <w:rPr>
                <w:sz w:val="22"/>
                <w:szCs w:val="22"/>
              </w:rPr>
              <w:t xml:space="preserve">, </w:t>
            </w:r>
            <w:r w:rsidRPr="00F1082D">
              <w:rPr>
                <w:sz w:val="22"/>
                <w:szCs w:val="22"/>
              </w:rPr>
              <w:t>Room: Sheraton C (LC)</w:t>
            </w:r>
          </w:p>
          <w:p w14:paraId="551EE4B6" w14:textId="77777777" w:rsidR="00317CF3" w:rsidRDefault="00317CF3" w:rsidP="00A75DD5">
            <w:pPr>
              <w:rPr>
                <w:sz w:val="22"/>
                <w:szCs w:val="22"/>
              </w:rPr>
            </w:pPr>
          </w:p>
          <w:p w14:paraId="2001B3D8" w14:textId="77777777" w:rsidR="00317CF3" w:rsidRPr="00AC724D" w:rsidRDefault="00317CF3" w:rsidP="00A75DD5">
            <w:pPr>
              <w:rPr>
                <w:sz w:val="22"/>
                <w:szCs w:val="22"/>
              </w:rPr>
            </w:pPr>
            <w:r w:rsidRPr="00AC724D">
              <w:rPr>
                <w:sz w:val="22"/>
                <w:szCs w:val="22"/>
              </w:rPr>
              <w:t>Monday, June 27, 9:45 AM - 10:45 AM</w:t>
            </w:r>
          </w:p>
          <w:p w14:paraId="0C0C0136" w14:textId="43973475" w:rsidR="00317CF3" w:rsidRPr="00AC724D" w:rsidRDefault="00317CF3" w:rsidP="00A75DD5">
            <w:pPr>
              <w:rPr>
                <w:sz w:val="22"/>
                <w:szCs w:val="22"/>
              </w:rPr>
            </w:pPr>
            <w:r w:rsidRPr="00AC724D">
              <w:rPr>
                <w:sz w:val="22"/>
                <w:szCs w:val="22"/>
              </w:rPr>
              <w:t>Conference Paper Session 9</w:t>
            </w:r>
          </w:p>
          <w:p w14:paraId="734FC433" w14:textId="47FC9BAE" w:rsidR="00317CF3" w:rsidRDefault="00317CF3" w:rsidP="00A75DD5">
            <w:pPr>
              <w:rPr>
                <w:sz w:val="22"/>
                <w:szCs w:val="22"/>
              </w:rPr>
            </w:pPr>
            <w:r w:rsidRPr="00AC724D">
              <w:rPr>
                <w:sz w:val="22"/>
                <w:szCs w:val="22"/>
              </w:rPr>
              <w:t>Occupant Behavior and Smart Buildings (Posters)</w:t>
            </w:r>
            <w:r>
              <w:rPr>
                <w:sz w:val="22"/>
                <w:szCs w:val="22"/>
              </w:rPr>
              <w:t xml:space="preserve">, </w:t>
            </w:r>
            <w:r w:rsidRPr="00AC724D">
              <w:rPr>
                <w:sz w:val="22"/>
                <w:szCs w:val="22"/>
              </w:rPr>
              <w:t>Room: Osgoode (LC)</w:t>
            </w:r>
          </w:p>
          <w:p w14:paraId="1812BE52" w14:textId="1FAEB2BF" w:rsidR="00317CF3" w:rsidRPr="00AC724D" w:rsidRDefault="00317CF3" w:rsidP="00A75DD5"/>
        </w:tc>
        <w:tc>
          <w:tcPr>
            <w:tcW w:w="2795" w:type="dxa"/>
            <w:vAlign w:val="center"/>
          </w:tcPr>
          <w:p w14:paraId="221C1806" w14:textId="77777777" w:rsidR="00317CF3" w:rsidRDefault="00317CF3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317CF3" w:rsidRPr="00621CB5" w14:paraId="1BC142B4" w14:textId="77777777" w:rsidTr="000B12AF">
        <w:trPr>
          <w:trHeight w:val="372"/>
        </w:trPr>
        <w:tc>
          <w:tcPr>
            <w:tcW w:w="1112" w:type="dxa"/>
            <w:vMerge/>
            <w:vAlign w:val="center"/>
          </w:tcPr>
          <w:p w14:paraId="1C230AB8" w14:textId="7A09808D" w:rsidR="00317CF3" w:rsidRDefault="00317CF3" w:rsidP="00B960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42A3CB77" w14:textId="77777777" w:rsidR="00317CF3" w:rsidRDefault="00317CF3" w:rsidP="00B960E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Annual </w:t>
            </w:r>
            <w:r w:rsidRPr="009A549E">
              <w:rPr>
                <w:b/>
                <w:sz w:val="22"/>
                <w:szCs w:val="22"/>
              </w:rPr>
              <w:t>ASHRAE conference seminar ideas</w:t>
            </w:r>
          </w:p>
          <w:p w14:paraId="799E8BDC" w14:textId="3686DAB9" w:rsidR="00317CF3" w:rsidRPr="007E5F0C" w:rsidRDefault="00317CF3" w:rsidP="00B960E0">
            <w:pPr>
              <w:snapToGrid w:val="0"/>
              <w:rPr>
                <w:sz w:val="22"/>
                <w:szCs w:val="22"/>
              </w:rPr>
            </w:pPr>
            <w:r w:rsidRPr="007E5F0C">
              <w:rPr>
                <w:sz w:val="22"/>
                <w:szCs w:val="22"/>
              </w:rPr>
              <w:t xml:space="preserve">June 25-29, 2022 – Toronto, ON </w:t>
            </w:r>
          </w:p>
          <w:p w14:paraId="53AB7C1C" w14:textId="7A778774" w:rsidR="00317CF3" w:rsidRPr="00C8708F" w:rsidRDefault="00317CF3" w:rsidP="00FA0BDD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F</w:t>
            </w:r>
            <w:r w:rsidRPr="00C8708F">
              <w:rPr>
                <w:sz w:val="22"/>
                <w:szCs w:val="22"/>
                <w:lang w:eastAsia="zh-CN"/>
              </w:rPr>
              <w:t>undamental</w:t>
            </w:r>
            <w:r>
              <w:rPr>
                <w:sz w:val="22"/>
                <w:szCs w:val="22"/>
                <w:lang w:eastAsia="zh-CN"/>
              </w:rPr>
              <w:t>s</w:t>
            </w:r>
            <w:r w:rsidRPr="00C8708F">
              <w:rPr>
                <w:sz w:val="22"/>
                <w:szCs w:val="22"/>
                <w:lang w:eastAsia="zh-CN"/>
              </w:rPr>
              <w:t xml:space="preserve"> and </w:t>
            </w:r>
            <w:r>
              <w:rPr>
                <w:sz w:val="22"/>
                <w:szCs w:val="22"/>
                <w:lang w:eastAsia="zh-CN"/>
              </w:rPr>
              <w:t>A</w:t>
            </w:r>
            <w:r w:rsidRPr="00C8708F">
              <w:rPr>
                <w:sz w:val="22"/>
                <w:szCs w:val="22"/>
                <w:lang w:eastAsia="zh-CN"/>
              </w:rPr>
              <w:t>pplications</w:t>
            </w:r>
          </w:p>
          <w:p w14:paraId="3899B993" w14:textId="0B5E586C" w:rsidR="00317CF3" w:rsidRDefault="00317CF3" w:rsidP="009C1623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HVAC&amp;R S</w:t>
            </w:r>
            <w:r w:rsidRPr="00C8708F">
              <w:rPr>
                <w:sz w:val="22"/>
                <w:szCs w:val="22"/>
                <w:lang w:eastAsia="zh-CN"/>
              </w:rPr>
              <w:t xml:space="preserve">ystems and </w:t>
            </w:r>
            <w:r>
              <w:rPr>
                <w:sz w:val="22"/>
                <w:szCs w:val="22"/>
                <w:lang w:eastAsia="zh-CN"/>
              </w:rPr>
              <w:t>E</w:t>
            </w:r>
            <w:r w:rsidRPr="00C8708F">
              <w:rPr>
                <w:sz w:val="22"/>
                <w:szCs w:val="22"/>
                <w:lang w:eastAsia="zh-CN"/>
              </w:rPr>
              <w:t>quipment</w:t>
            </w:r>
          </w:p>
          <w:p w14:paraId="3D72DA7C" w14:textId="1CD2FAE9" w:rsidR="00317CF3" w:rsidRDefault="00317CF3" w:rsidP="009C1623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Refrigerants and Refrigeration</w:t>
            </w:r>
          </w:p>
          <w:p w14:paraId="64F08C4B" w14:textId="6150845F" w:rsidR="00317CF3" w:rsidRDefault="00317CF3" w:rsidP="009C1623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Grid Resilience and Thermal Storage</w:t>
            </w:r>
          </w:p>
          <w:p w14:paraId="68F320D4" w14:textId="7E3EBB66" w:rsidR="00317CF3" w:rsidRDefault="00317CF3" w:rsidP="009C1623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Pathways to Zero Energy Emissions and Decarbonization</w:t>
            </w:r>
          </w:p>
          <w:p w14:paraId="47A8345C" w14:textId="2CB6D53E" w:rsidR="00317CF3" w:rsidRDefault="00317CF3" w:rsidP="009C1623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Multifamily and Residential Buildings</w:t>
            </w:r>
          </w:p>
          <w:p w14:paraId="7D1F7493" w14:textId="3E1659FE" w:rsidR="00317CF3" w:rsidRDefault="00317CF3" w:rsidP="009C1623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Operations and Maintenance</w:t>
            </w:r>
          </w:p>
          <w:p w14:paraId="7A8741A8" w14:textId="62F80431" w:rsidR="00317CF3" w:rsidRPr="009C1623" w:rsidRDefault="00317CF3" w:rsidP="009C1623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Building Simulation and Virtual Design in Construction</w:t>
            </w:r>
          </w:p>
          <w:p w14:paraId="79495A83" w14:textId="3B743789" w:rsidR="00317CF3" w:rsidRDefault="00317CF3" w:rsidP="00FA0BDD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Mini Track- Innovative responses to supply chain challenges. </w:t>
            </w:r>
          </w:p>
          <w:p w14:paraId="75FEB625" w14:textId="060DA392" w:rsidR="00317CF3" w:rsidRPr="00C8708F" w:rsidRDefault="00317CF3" w:rsidP="00C870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August 9</w:t>
            </w:r>
            <w:r w:rsidRPr="00EC72D7">
              <w:rPr>
                <w:sz w:val="22"/>
                <w:szCs w:val="22"/>
              </w:rPr>
              <w:t>, 2022: Program (Seminar, Forum, Workshop, Debate and Panel) Proposals Due</w:t>
            </w:r>
          </w:p>
          <w:p w14:paraId="075EF669" w14:textId="077FFA21" w:rsidR="00317CF3" w:rsidRPr="001F50B5" w:rsidRDefault="00317CF3" w:rsidP="00B960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14:paraId="611FCB25" w14:textId="094B37D3" w:rsidR="00317CF3" w:rsidRDefault="00317CF3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B22A7D" w:rsidRPr="00621CB5" w14:paraId="25D8BBE0" w14:textId="77777777" w:rsidTr="000B12AF">
        <w:trPr>
          <w:trHeight w:val="372"/>
        </w:trPr>
        <w:tc>
          <w:tcPr>
            <w:tcW w:w="1112" w:type="dxa"/>
            <w:vMerge w:val="restart"/>
            <w:vAlign w:val="center"/>
          </w:tcPr>
          <w:p w14:paraId="53E39EC8" w14:textId="2A374326" w:rsidR="00B22A7D" w:rsidRDefault="00B22A7D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mins</w:t>
            </w:r>
          </w:p>
        </w:tc>
        <w:tc>
          <w:tcPr>
            <w:tcW w:w="5396" w:type="dxa"/>
            <w:vAlign w:val="center"/>
          </w:tcPr>
          <w:p w14:paraId="5E4F3B0B" w14:textId="2CA5B415" w:rsidR="00B22A7D" w:rsidRDefault="00B22A7D" w:rsidP="00CD5F88">
            <w:pPr>
              <w:snapToGrid w:val="0"/>
              <w:rPr>
                <w:b/>
                <w:sz w:val="22"/>
                <w:szCs w:val="22"/>
              </w:rPr>
            </w:pPr>
            <w:r w:rsidRPr="000038E6">
              <w:rPr>
                <w:b/>
                <w:bCs/>
                <w:sz w:val="22"/>
                <w:szCs w:val="22"/>
              </w:rPr>
              <w:t xml:space="preserve">Potential Seminar Ideas for </w:t>
            </w:r>
            <w:r>
              <w:rPr>
                <w:b/>
                <w:bCs/>
                <w:sz w:val="22"/>
                <w:szCs w:val="22"/>
              </w:rPr>
              <w:t xml:space="preserve">2021 Winter ASHRAE </w:t>
            </w:r>
          </w:p>
        </w:tc>
        <w:tc>
          <w:tcPr>
            <w:tcW w:w="2795" w:type="dxa"/>
            <w:vAlign w:val="center"/>
          </w:tcPr>
          <w:p w14:paraId="2098ED6A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</w:tc>
      </w:tr>
      <w:tr w:rsidR="00B22A7D" w:rsidRPr="00621CB5" w14:paraId="46C1E2F3" w14:textId="77777777" w:rsidTr="000B12AF">
        <w:trPr>
          <w:trHeight w:val="372"/>
        </w:trPr>
        <w:tc>
          <w:tcPr>
            <w:tcW w:w="1112" w:type="dxa"/>
            <w:vMerge/>
            <w:vAlign w:val="center"/>
          </w:tcPr>
          <w:p w14:paraId="5066EEDC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04B0FB63" w14:textId="0BB53FBB" w:rsidR="00B22A7D" w:rsidRDefault="00B22A7D" w:rsidP="00CD5F88">
            <w:pPr>
              <w:snapToGrid w:val="0"/>
              <w:rPr>
                <w:sz w:val="22"/>
                <w:szCs w:val="22"/>
              </w:rPr>
            </w:pPr>
            <w:r w:rsidRPr="007D6BD0">
              <w:rPr>
                <w:sz w:val="22"/>
                <w:szCs w:val="22"/>
              </w:rPr>
              <w:t>Automated Alarm Management: DDC alarms used for FDD?</w:t>
            </w:r>
          </w:p>
          <w:p w14:paraId="435A979D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  <w:p w14:paraId="664F014A" w14:textId="12E110FB" w:rsidR="00B22A7D" w:rsidRDefault="00B22A7D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 the alarm information into useful pieces. The building operator has to go through all the alarms. M</w:t>
            </w:r>
            <w:r w:rsidRPr="009F539C">
              <w:rPr>
                <w:sz w:val="22"/>
                <w:szCs w:val="22"/>
              </w:rPr>
              <w:t xml:space="preserve">ake </w:t>
            </w:r>
            <w:r>
              <w:rPr>
                <w:sz w:val="22"/>
                <w:szCs w:val="22"/>
              </w:rPr>
              <w:t xml:space="preserve">a </w:t>
            </w:r>
            <w:r w:rsidRPr="009F539C">
              <w:rPr>
                <w:sz w:val="22"/>
                <w:szCs w:val="22"/>
              </w:rPr>
              <w:t>presentation to collect information to make a</w:t>
            </w:r>
            <w:r>
              <w:rPr>
                <w:rFonts w:hint="eastAsia"/>
                <w:sz w:val="22"/>
                <w:szCs w:val="22"/>
                <w:lang w:eastAsia="zh-CN"/>
              </w:rPr>
              <w:t>n</w:t>
            </w:r>
            <w:r w:rsidRPr="009F539C">
              <w:rPr>
                <w:sz w:val="22"/>
                <w:szCs w:val="22"/>
              </w:rPr>
              <w:t xml:space="preserve"> RTAR is a goal. TC1.4: program will be the co-host.</w:t>
            </w:r>
          </w:p>
          <w:p w14:paraId="761E2508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  <w:p w14:paraId="56E1BDC8" w14:textId="2BE87DE6" w:rsidR="00B22A7D" w:rsidRDefault="00B22A7D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 identified three speakers. Plan to submit the seminar proposal if we will have a virtual conference in 2021 winter ASHRAE. </w:t>
            </w:r>
          </w:p>
          <w:p w14:paraId="1132B59A" w14:textId="616D8EA3" w:rsidR="009C7B62" w:rsidRDefault="009C7B62" w:rsidP="00CD5F88">
            <w:pPr>
              <w:snapToGrid w:val="0"/>
              <w:rPr>
                <w:sz w:val="22"/>
                <w:szCs w:val="22"/>
              </w:rPr>
            </w:pPr>
          </w:p>
          <w:p w14:paraId="4305FE2C" w14:textId="6F4C77B6" w:rsidR="009C7B62" w:rsidRDefault="009C7B62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Defer to </w:t>
            </w:r>
            <w:r w:rsidR="001B25E9">
              <w:rPr>
                <w:sz w:val="22"/>
                <w:szCs w:val="22"/>
              </w:rPr>
              <w:t xml:space="preserve">ASHRAE Winter Conference </w:t>
            </w:r>
            <w:r>
              <w:rPr>
                <w:sz w:val="22"/>
                <w:szCs w:val="22"/>
              </w:rPr>
              <w:t>2023</w:t>
            </w:r>
            <w:r w:rsidR="001B25E9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Atlanta</w:t>
            </w:r>
          </w:p>
          <w:p w14:paraId="17E64B36" w14:textId="2B504792" w:rsidR="00B22A7D" w:rsidRPr="009F539C" w:rsidRDefault="00B22A7D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14:paraId="78E00F8F" w14:textId="181FB08A" w:rsidR="00B22A7D" w:rsidRDefault="00B22A7D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 </w:t>
            </w:r>
            <w:r w:rsidRPr="0020255E">
              <w:rPr>
                <w:sz w:val="22"/>
                <w:szCs w:val="22"/>
              </w:rPr>
              <w:t>Lomonaco</w:t>
            </w:r>
            <w:r>
              <w:rPr>
                <w:sz w:val="22"/>
                <w:szCs w:val="22"/>
              </w:rPr>
              <w:t xml:space="preserve">, Kim </w:t>
            </w:r>
            <w:r w:rsidRPr="00041B30">
              <w:rPr>
                <w:sz w:val="22"/>
                <w:szCs w:val="22"/>
              </w:rPr>
              <w:t>Barker</w:t>
            </w:r>
          </w:p>
        </w:tc>
      </w:tr>
      <w:tr w:rsidR="00B22A7D" w:rsidRPr="00621CB5" w14:paraId="6D97E718" w14:textId="77777777" w:rsidTr="000B12AF">
        <w:tc>
          <w:tcPr>
            <w:tcW w:w="1112" w:type="dxa"/>
            <w:vMerge/>
            <w:vAlign w:val="center"/>
          </w:tcPr>
          <w:p w14:paraId="6AB472B3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61818DAB" w14:textId="77777777" w:rsidR="00B22A7D" w:rsidRDefault="00B22A7D" w:rsidP="004A777D">
            <w:pPr>
              <w:snapToGrid w:val="0"/>
              <w:rPr>
                <w:sz w:val="22"/>
                <w:szCs w:val="22"/>
              </w:rPr>
            </w:pPr>
            <w:r w:rsidRPr="006A3A2C">
              <w:rPr>
                <w:sz w:val="22"/>
                <w:szCs w:val="22"/>
              </w:rPr>
              <w:t>Moving Beyond Data Overload to Effective Use of Fault Detection and Diagnostics Analytics</w:t>
            </w:r>
          </w:p>
          <w:p w14:paraId="27A12F98" w14:textId="6CD669A4" w:rsidR="00B22A7D" w:rsidRDefault="00B22A7D" w:rsidP="004A77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14:paraId="6DABA9A4" w14:textId="6493CD7A" w:rsidR="00B22A7D" w:rsidRDefault="00B22A7D" w:rsidP="003848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Guanjing Lin (Chair), Patric Villaume,</w:t>
            </w:r>
            <w:r>
              <w:t xml:space="preserve"> </w:t>
            </w:r>
            <w:r w:rsidRPr="00662798">
              <w:rPr>
                <w:sz w:val="22"/>
                <w:szCs w:val="22"/>
              </w:rPr>
              <w:t xml:space="preserve">Young, Chariti </w:t>
            </w:r>
          </w:p>
        </w:tc>
      </w:tr>
      <w:tr w:rsidR="00B22A7D" w:rsidRPr="00621CB5" w14:paraId="6E451611" w14:textId="77777777" w:rsidTr="000B12AF">
        <w:tc>
          <w:tcPr>
            <w:tcW w:w="1112" w:type="dxa"/>
            <w:vMerge/>
            <w:vAlign w:val="center"/>
          </w:tcPr>
          <w:p w14:paraId="10B94E29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7EB57694" w14:textId="1378D329" w:rsidR="00B22A7D" w:rsidRDefault="00B22A7D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FDD (multip</w:t>
            </w:r>
            <w:r w:rsidR="001B25E9">
              <w:rPr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 xml:space="preserve"> family residential buildings) review of FDD on residentials. </w:t>
            </w:r>
          </w:p>
          <w:p w14:paraId="2008CBC3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  <w:p w14:paraId="0949C3CF" w14:textId="0ED12647" w:rsidR="00B22A7D" w:rsidRDefault="00B22A7D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for 202</w:t>
            </w:r>
            <w:r w:rsidR="00C23E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Winter or Summer confer</w:t>
            </w:r>
            <w:r w:rsidR="0020711E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ce</w:t>
            </w:r>
          </w:p>
          <w:p w14:paraId="2BE17D6C" w14:textId="1FDB421E" w:rsidR="009C7B62" w:rsidRDefault="009C7B62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 has an accepted conference paper presentation for Toronto conference.</w:t>
            </w:r>
          </w:p>
          <w:p w14:paraId="2FF84334" w14:textId="08759A32" w:rsidR="00B22A7D" w:rsidRPr="004A777D" w:rsidRDefault="00B22A7D" w:rsidP="00CD5F8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14:paraId="6236E03B" w14:textId="351CEDF1" w:rsidR="00B22A7D" w:rsidRDefault="00B22A7D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Yuill, Jin Wen, Zheng </w:t>
            </w:r>
            <w:r w:rsidRPr="00EB751F">
              <w:rPr>
                <w:sz w:val="22"/>
                <w:szCs w:val="22"/>
              </w:rPr>
              <w:t>O’Neill</w:t>
            </w:r>
            <w:r>
              <w:rPr>
                <w:sz w:val="22"/>
                <w:szCs w:val="22"/>
              </w:rPr>
              <w:t>, Li Song</w:t>
            </w:r>
          </w:p>
        </w:tc>
      </w:tr>
      <w:tr w:rsidR="00B22A7D" w:rsidRPr="00621CB5" w14:paraId="517BC7A0" w14:textId="77777777" w:rsidTr="000B12AF">
        <w:tc>
          <w:tcPr>
            <w:tcW w:w="1112" w:type="dxa"/>
            <w:vMerge/>
            <w:vAlign w:val="center"/>
          </w:tcPr>
          <w:p w14:paraId="28ED87AD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3B7AD1FD" w14:textId="1E4084DA" w:rsidR="00B22A7D" w:rsidRPr="004A777D" w:rsidRDefault="00B22A7D" w:rsidP="00CD5F88">
            <w:pPr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  <w:r w:rsidRPr="004A777D">
              <w:rPr>
                <w:b/>
                <w:bCs/>
                <w:sz w:val="22"/>
                <w:szCs w:val="22"/>
              </w:rPr>
              <w:t>New idea</w:t>
            </w:r>
            <w:r w:rsidRPr="004A777D">
              <w:rPr>
                <w:rFonts w:hint="eastAsia"/>
                <w:b/>
                <w:bCs/>
                <w:sz w:val="22"/>
                <w:szCs w:val="22"/>
                <w:lang w:eastAsia="zh-CN"/>
              </w:rPr>
              <w:t>s</w:t>
            </w:r>
            <w:r w:rsidRPr="004A777D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795" w:type="dxa"/>
            <w:vAlign w:val="center"/>
          </w:tcPr>
          <w:p w14:paraId="71D69E17" w14:textId="77777777" w:rsidR="00B22A7D" w:rsidRDefault="00B22A7D" w:rsidP="00CD5F88">
            <w:pPr>
              <w:snapToGrid w:val="0"/>
              <w:rPr>
                <w:sz w:val="22"/>
                <w:szCs w:val="22"/>
              </w:rPr>
            </w:pPr>
          </w:p>
        </w:tc>
      </w:tr>
      <w:tr w:rsidR="00B22A7D" w:rsidRPr="00621CB5" w14:paraId="710A2B7B" w14:textId="4C3F186E" w:rsidTr="000B12AF">
        <w:tc>
          <w:tcPr>
            <w:tcW w:w="1112" w:type="dxa"/>
            <w:vMerge/>
            <w:vAlign w:val="center"/>
          </w:tcPr>
          <w:p w14:paraId="55A484B9" w14:textId="77777777" w:rsidR="00B22A7D" w:rsidRDefault="00B22A7D" w:rsidP="000B12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006F7307" w14:textId="699A4EE3" w:rsidR="00B22A7D" w:rsidRDefault="00B22A7D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FDD</w:t>
            </w:r>
            <w:r w:rsidR="0020711E">
              <w:rPr>
                <w:sz w:val="22"/>
                <w:szCs w:val="22"/>
              </w:rPr>
              <w:t xml:space="preserve"> methods </w:t>
            </w:r>
            <w:r>
              <w:rPr>
                <w:sz w:val="22"/>
                <w:szCs w:val="22"/>
              </w:rPr>
              <w:t xml:space="preserve">for </w:t>
            </w:r>
            <w:r w:rsidR="00A67C40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uilding HVAC systems </w:t>
            </w:r>
          </w:p>
          <w:p w14:paraId="2384858D" w14:textId="7C1F941F" w:rsidR="00B22A7D" w:rsidRPr="004A777D" w:rsidRDefault="00B22A7D" w:rsidP="003C0632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14:paraId="71218D52" w14:textId="77777777" w:rsidR="00B22A7D" w:rsidRDefault="00B22A7D" w:rsidP="000B12AF">
            <w:pPr>
              <w:snapToGrid w:val="0"/>
              <w:rPr>
                <w:sz w:val="22"/>
                <w:szCs w:val="22"/>
              </w:rPr>
            </w:pPr>
          </w:p>
          <w:p w14:paraId="2E042B9F" w14:textId="77777777" w:rsidR="00B22A7D" w:rsidRDefault="00B22A7D" w:rsidP="000B12AF">
            <w:pPr>
              <w:snapToGrid w:val="0"/>
              <w:rPr>
                <w:sz w:val="22"/>
                <w:szCs w:val="22"/>
              </w:rPr>
            </w:pPr>
          </w:p>
        </w:tc>
      </w:tr>
      <w:tr w:rsidR="00B22A7D" w:rsidRPr="00621CB5" w14:paraId="07BFB199" w14:textId="77777777" w:rsidTr="00B22A7D">
        <w:trPr>
          <w:trHeight w:val="408"/>
        </w:trPr>
        <w:tc>
          <w:tcPr>
            <w:tcW w:w="1112" w:type="dxa"/>
            <w:vMerge/>
            <w:vAlign w:val="center"/>
          </w:tcPr>
          <w:p w14:paraId="4F38FE5C" w14:textId="77777777" w:rsidR="00B22A7D" w:rsidRDefault="00B22A7D" w:rsidP="000B12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6C48249C" w14:textId="5251ACA0" w:rsidR="00B22A7D" w:rsidRDefault="0020711E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study for FDD implementation and testing in buildings</w:t>
            </w:r>
          </w:p>
          <w:p w14:paraId="2258555C" w14:textId="5C2B9E00" w:rsidR="003C0632" w:rsidRDefault="003C0632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Toronto Conference</w:t>
            </w:r>
          </w:p>
          <w:p w14:paraId="26B16464" w14:textId="2070978A" w:rsidR="003C0632" w:rsidRDefault="003C0632" w:rsidP="003C06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David: prevalence faults for buildings with LBNL </w:t>
            </w:r>
          </w:p>
          <w:p w14:paraId="1A724647" w14:textId="777B5BE1" w:rsidR="003C0632" w:rsidRDefault="003C0632" w:rsidP="003C06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1-2 speakers </w:t>
            </w:r>
          </w:p>
          <w:p w14:paraId="5280B8DA" w14:textId="0D9E53C1" w:rsidR="00B00E8E" w:rsidRDefault="00B00E8E" w:rsidP="003C06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Liping: FDD testing results for high-performance HVAC systems. </w:t>
            </w:r>
          </w:p>
          <w:p w14:paraId="643DDD98" w14:textId="586E02EB" w:rsidR="003C0632" w:rsidRDefault="003C0632" w:rsidP="003C06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Atlanta Conference </w:t>
            </w:r>
          </w:p>
          <w:p w14:paraId="4D0994B9" w14:textId="2AACF428" w:rsidR="003C0632" w:rsidRDefault="003C0632" w:rsidP="003C06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 Song: </w:t>
            </w:r>
            <w:r w:rsidR="00BB6C1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esidential </w:t>
            </w:r>
            <w:r w:rsidR="00BB6C16">
              <w:rPr>
                <w:sz w:val="22"/>
                <w:szCs w:val="22"/>
              </w:rPr>
              <w:t>FDD case study</w:t>
            </w:r>
          </w:p>
          <w:p w14:paraId="5882F2C7" w14:textId="74F814F0" w:rsidR="003C0632" w:rsidRPr="00C11884" w:rsidRDefault="003C0632" w:rsidP="000B12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14:paraId="32A89097" w14:textId="7F22D7CC" w:rsidR="00B22A7D" w:rsidRDefault="003C0632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Yuill, Li Song</w:t>
            </w:r>
            <w:r w:rsidR="00AC56D2">
              <w:rPr>
                <w:sz w:val="22"/>
                <w:szCs w:val="22"/>
              </w:rPr>
              <w:t>, Liping Wang</w:t>
            </w:r>
          </w:p>
        </w:tc>
      </w:tr>
      <w:tr w:rsidR="00AC56D2" w:rsidRPr="00621CB5" w14:paraId="6B9FFA97" w14:textId="77777777" w:rsidTr="00B22A7D">
        <w:trPr>
          <w:trHeight w:val="408"/>
        </w:trPr>
        <w:tc>
          <w:tcPr>
            <w:tcW w:w="1112" w:type="dxa"/>
            <w:vAlign w:val="center"/>
          </w:tcPr>
          <w:p w14:paraId="53D106BE" w14:textId="77777777" w:rsidR="00AC56D2" w:rsidRDefault="00AC56D2" w:rsidP="000B12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2F575FFE" w14:textId="6DBB375E" w:rsidR="00AC56D2" w:rsidRDefault="00BB6C16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of FDD in </w:t>
            </w:r>
            <w:r w:rsidR="00AC56D2">
              <w:rPr>
                <w:sz w:val="22"/>
                <w:szCs w:val="22"/>
              </w:rPr>
              <w:t>Guideline 36</w:t>
            </w:r>
          </w:p>
          <w:p w14:paraId="16141B61" w14:textId="77777777" w:rsidR="00AC56D2" w:rsidRDefault="00AC56D2" w:rsidP="000B12AF">
            <w:pPr>
              <w:snapToGrid w:val="0"/>
              <w:rPr>
                <w:sz w:val="22"/>
                <w:szCs w:val="22"/>
              </w:rPr>
            </w:pPr>
          </w:p>
          <w:p w14:paraId="14FC9758" w14:textId="5FD26690" w:rsidR="00AC56D2" w:rsidRDefault="00BB6C16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 for ASHRAE </w:t>
            </w:r>
            <w:r w:rsidR="00AC56D2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conference</w:t>
            </w:r>
          </w:p>
        </w:tc>
        <w:tc>
          <w:tcPr>
            <w:tcW w:w="2795" w:type="dxa"/>
            <w:vAlign w:val="center"/>
          </w:tcPr>
          <w:p w14:paraId="3946C929" w14:textId="6B5A3EB5" w:rsidR="00AC56D2" w:rsidRDefault="00AC56D2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Zhou, Steve Taylor </w:t>
            </w:r>
          </w:p>
        </w:tc>
      </w:tr>
      <w:tr w:rsidR="00A96006" w:rsidRPr="00621CB5" w14:paraId="363439B5" w14:textId="77777777" w:rsidTr="00B22A7D">
        <w:trPr>
          <w:trHeight w:val="408"/>
        </w:trPr>
        <w:tc>
          <w:tcPr>
            <w:tcW w:w="1112" w:type="dxa"/>
            <w:vAlign w:val="center"/>
          </w:tcPr>
          <w:p w14:paraId="4E9F9DCD" w14:textId="1C5D3C22" w:rsidR="00A96006" w:rsidRDefault="00A96006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mins</w:t>
            </w:r>
          </w:p>
        </w:tc>
        <w:tc>
          <w:tcPr>
            <w:tcW w:w="5396" w:type="dxa"/>
            <w:vAlign w:val="center"/>
          </w:tcPr>
          <w:p w14:paraId="5C75A593" w14:textId="285462FD" w:rsidR="00A96006" w:rsidRPr="00A96006" w:rsidRDefault="00A96006" w:rsidP="000B12A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96006">
              <w:rPr>
                <w:b/>
                <w:bCs/>
                <w:sz w:val="22"/>
                <w:szCs w:val="22"/>
              </w:rPr>
              <w:t>Update of FDD projects from DOE and DOD</w:t>
            </w:r>
          </w:p>
        </w:tc>
        <w:tc>
          <w:tcPr>
            <w:tcW w:w="2795" w:type="dxa"/>
            <w:vAlign w:val="center"/>
          </w:tcPr>
          <w:p w14:paraId="285DEC05" w14:textId="77777777" w:rsidR="00A96006" w:rsidRDefault="00A96006" w:rsidP="000B12AF">
            <w:pPr>
              <w:snapToGrid w:val="0"/>
              <w:rPr>
                <w:sz w:val="22"/>
                <w:szCs w:val="22"/>
              </w:rPr>
            </w:pPr>
          </w:p>
        </w:tc>
      </w:tr>
      <w:tr w:rsidR="00317CF3" w14:paraId="48F7ED88" w14:textId="77777777" w:rsidTr="005A2706">
        <w:trPr>
          <w:trHeight w:val="372"/>
        </w:trPr>
        <w:tc>
          <w:tcPr>
            <w:tcW w:w="1112" w:type="dxa"/>
            <w:vMerge w:val="restart"/>
            <w:vAlign w:val="center"/>
          </w:tcPr>
          <w:p w14:paraId="06CD4117" w14:textId="48663EA7" w:rsidR="00317CF3" w:rsidRPr="006A0124" w:rsidRDefault="00317CF3" w:rsidP="005A27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0B46BD11" w14:textId="30BFC54E" w:rsidR="00317CF3" w:rsidRPr="006A0124" w:rsidRDefault="00317CF3" w:rsidP="005A27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Pr="006A0124">
              <w:rPr>
                <w:sz w:val="22"/>
                <w:szCs w:val="22"/>
              </w:rPr>
              <w:t>DOE FDD project</w:t>
            </w:r>
          </w:p>
        </w:tc>
        <w:tc>
          <w:tcPr>
            <w:tcW w:w="2795" w:type="dxa"/>
            <w:vAlign w:val="center"/>
          </w:tcPr>
          <w:p w14:paraId="33CFE103" w14:textId="77777777" w:rsidR="00317CF3" w:rsidRDefault="00317CF3" w:rsidP="005A27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Guanjing Lin </w:t>
            </w:r>
          </w:p>
        </w:tc>
      </w:tr>
      <w:tr w:rsidR="00317CF3" w14:paraId="33745327" w14:textId="77777777" w:rsidTr="005A2706">
        <w:trPr>
          <w:trHeight w:val="372"/>
        </w:trPr>
        <w:tc>
          <w:tcPr>
            <w:tcW w:w="1112" w:type="dxa"/>
            <w:vMerge/>
            <w:vAlign w:val="center"/>
          </w:tcPr>
          <w:p w14:paraId="6A605225" w14:textId="157E7618" w:rsidR="00317CF3" w:rsidRPr="006A0124" w:rsidRDefault="00317CF3" w:rsidP="005A27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0C3C4A2F" w14:textId="0E09BD74" w:rsidR="00317CF3" w:rsidRPr="006A0124" w:rsidRDefault="00317CF3" w:rsidP="005A27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DOD FDD project</w:t>
            </w:r>
          </w:p>
        </w:tc>
        <w:tc>
          <w:tcPr>
            <w:tcW w:w="2795" w:type="dxa"/>
            <w:vAlign w:val="center"/>
          </w:tcPr>
          <w:p w14:paraId="7FF6A066" w14:textId="77777777" w:rsidR="00317CF3" w:rsidRDefault="00317CF3" w:rsidP="005A2706">
            <w:pPr>
              <w:snapToGrid w:val="0"/>
              <w:rPr>
                <w:sz w:val="22"/>
                <w:szCs w:val="22"/>
              </w:rPr>
            </w:pPr>
            <w:r w:rsidRPr="00A96006">
              <w:rPr>
                <w:sz w:val="22"/>
                <w:szCs w:val="22"/>
              </w:rPr>
              <w:t>Chris Battisti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17CF3" w:rsidRPr="00621CB5" w14:paraId="653FD340" w14:textId="77777777" w:rsidTr="000B12AF">
        <w:tc>
          <w:tcPr>
            <w:tcW w:w="1112" w:type="dxa"/>
            <w:vMerge w:val="restart"/>
            <w:vAlign w:val="center"/>
          </w:tcPr>
          <w:p w14:paraId="14A614ED" w14:textId="2F1E9E9A" w:rsidR="00317CF3" w:rsidRDefault="00317CF3" w:rsidP="00C42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mins</w:t>
            </w:r>
          </w:p>
        </w:tc>
        <w:tc>
          <w:tcPr>
            <w:tcW w:w="5396" w:type="dxa"/>
            <w:vAlign w:val="center"/>
          </w:tcPr>
          <w:p w14:paraId="427D8CBB" w14:textId="77777777" w:rsidR="00317CF3" w:rsidRDefault="00317CF3" w:rsidP="000B12AF">
            <w:pPr>
              <w:snapToGrid w:val="0"/>
              <w:rPr>
                <w:sz w:val="22"/>
                <w:szCs w:val="22"/>
              </w:rPr>
            </w:pPr>
            <w:r w:rsidRPr="0020255E">
              <w:rPr>
                <w:b/>
                <w:sz w:val="22"/>
                <w:szCs w:val="22"/>
              </w:rPr>
              <w:t>Update/Discussion of Active project/RTARs/Work Statement</w:t>
            </w:r>
          </w:p>
        </w:tc>
        <w:tc>
          <w:tcPr>
            <w:tcW w:w="2795" w:type="dxa"/>
            <w:vAlign w:val="center"/>
          </w:tcPr>
          <w:p w14:paraId="658CCA75" w14:textId="77777777" w:rsidR="00317CF3" w:rsidRDefault="00317CF3" w:rsidP="000B12AF">
            <w:pPr>
              <w:snapToGrid w:val="0"/>
              <w:rPr>
                <w:sz w:val="22"/>
                <w:szCs w:val="22"/>
              </w:rPr>
            </w:pPr>
          </w:p>
        </w:tc>
      </w:tr>
      <w:tr w:rsidR="00317CF3" w:rsidRPr="00621CB5" w14:paraId="439E2D0A" w14:textId="77777777" w:rsidTr="000B12AF">
        <w:tc>
          <w:tcPr>
            <w:tcW w:w="1112" w:type="dxa"/>
            <w:vMerge/>
            <w:vAlign w:val="center"/>
          </w:tcPr>
          <w:p w14:paraId="00E35CDC" w14:textId="05FC8E6A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2D6E1394" w14:textId="64439D33" w:rsidR="00317CF3" w:rsidRPr="00EB751F" w:rsidRDefault="00317CF3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 1812 </w:t>
            </w:r>
            <w:r w:rsidRPr="00EB751F">
              <w:rPr>
                <w:sz w:val="22"/>
                <w:szCs w:val="22"/>
              </w:rPr>
              <w:t>Development of AFDD for leakage of ground-source heat pumps (</w:t>
            </w:r>
            <w:r>
              <w:rPr>
                <w:sz w:val="22"/>
                <w:szCs w:val="22"/>
              </w:rPr>
              <w:t>work statement revision</w:t>
            </w:r>
            <w:r w:rsidRPr="00EB751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14:paraId="29D8E250" w14:textId="77777777" w:rsidR="00317CF3" w:rsidRDefault="00317CF3" w:rsidP="000B12AF">
            <w:pPr>
              <w:snapToGrid w:val="0"/>
              <w:rPr>
                <w:sz w:val="22"/>
                <w:szCs w:val="22"/>
              </w:rPr>
            </w:pPr>
            <w:r w:rsidRPr="00EB751F">
              <w:rPr>
                <w:sz w:val="22"/>
                <w:szCs w:val="22"/>
              </w:rPr>
              <w:t xml:space="preserve">Zheng O’Neill and </w:t>
            </w:r>
            <w:r>
              <w:rPr>
                <w:sz w:val="22"/>
                <w:szCs w:val="22"/>
              </w:rPr>
              <w:t>Kristen</w:t>
            </w:r>
            <w:r w:rsidRPr="00EB751F">
              <w:rPr>
                <w:sz w:val="22"/>
                <w:szCs w:val="22"/>
              </w:rPr>
              <w:t xml:space="preserve"> Cetin</w:t>
            </w:r>
            <w:r>
              <w:rPr>
                <w:sz w:val="22"/>
                <w:szCs w:val="22"/>
              </w:rPr>
              <w:t xml:space="preserve"> </w:t>
            </w:r>
          </w:p>
          <w:p w14:paraId="72F1DC52" w14:textId="033FCC07" w:rsidR="00317CF3" w:rsidRDefault="00317CF3" w:rsidP="000B12AF">
            <w:pPr>
              <w:snapToGrid w:val="0"/>
              <w:rPr>
                <w:sz w:val="22"/>
                <w:szCs w:val="22"/>
              </w:rPr>
            </w:pPr>
          </w:p>
        </w:tc>
      </w:tr>
      <w:tr w:rsidR="00317CF3" w:rsidRPr="00621CB5" w14:paraId="28EC7A6F" w14:textId="77777777" w:rsidTr="000B12AF">
        <w:trPr>
          <w:trHeight w:val="849"/>
        </w:trPr>
        <w:tc>
          <w:tcPr>
            <w:tcW w:w="1112" w:type="dxa"/>
            <w:vMerge/>
            <w:vAlign w:val="center"/>
          </w:tcPr>
          <w:p w14:paraId="6871C5B5" w14:textId="53C1C663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42885610" w14:textId="3E612CA3" w:rsidR="00317CF3" w:rsidRDefault="00317CF3" w:rsidP="000B12AF">
            <w:pPr>
              <w:snapToGrid w:val="0"/>
              <w:rPr>
                <w:sz w:val="22"/>
                <w:szCs w:val="22"/>
              </w:rPr>
            </w:pPr>
            <w:r w:rsidRPr="00672289">
              <w:rPr>
                <w:sz w:val="22"/>
                <w:szCs w:val="22"/>
              </w:rPr>
              <w:t>Evaluation of the Usability of ASHRAE Standard 207</w:t>
            </w:r>
          </w:p>
          <w:p w14:paraId="6FBA8D4A" w14:textId="0CAA3D97" w:rsidR="00317CF3" w:rsidRPr="00EB751F" w:rsidRDefault="00317CF3" w:rsidP="00317C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Co-sponsor TC 7.9, Maybe TC 1.4</w:t>
            </w:r>
          </w:p>
        </w:tc>
        <w:tc>
          <w:tcPr>
            <w:tcW w:w="2795" w:type="dxa"/>
            <w:vAlign w:val="center"/>
          </w:tcPr>
          <w:p w14:paraId="0AE26B3E" w14:textId="77777777" w:rsidR="00317CF3" w:rsidRDefault="00317CF3" w:rsidP="000B1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by John House</w:t>
            </w:r>
          </w:p>
          <w:p w14:paraId="62CB363C" w14:textId="6D0FD59A" w:rsidR="00317CF3" w:rsidRPr="00EB751F" w:rsidRDefault="00317CF3" w:rsidP="00317CF3">
            <w:pPr>
              <w:snapToGrid w:val="0"/>
              <w:rPr>
                <w:sz w:val="22"/>
                <w:szCs w:val="22"/>
                <w:lang w:eastAsia="zh-CN"/>
              </w:rPr>
            </w:pPr>
            <w:r w:rsidRPr="00C067BA">
              <w:rPr>
                <w:sz w:val="22"/>
                <w:szCs w:val="22"/>
              </w:rPr>
              <w:t>David Shipley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17CF3" w:rsidRPr="00621CB5" w14:paraId="348934A6" w14:textId="77777777" w:rsidTr="000B12AF">
        <w:tc>
          <w:tcPr>
            <w:tcW w:w="1112" w:type="dxa"/>
            <w:vMerge/>
            <w:vAlign w:val="center"/>
          </w:tcPr>
          <w:p w14:paraId="2632A270" w14:textId="60623AA5" w:rsidR="00317CF3" w:rsidRPr="001B505E" w:rsidRDefault="00317CF3" w:rsidP="00C42A8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7F8E794D" w14:textId="02864FB0" w:rsidR="00317CF3" w:rsidRPr="001B505E" w:rsidRDefault="00317CF3" w:rsidP="000B12AF">
            <w:pPr>
              <w:snapToGrid w:val="0"/>
              <w:rPr>
                <w:b/>
                <w:sz w:val="22"/>
                <w:szCs w:val="22"/>
              </w:rPr>
            </w:pPr>
            <w:r w:rsidRPr="001B505E">
              <w:rPr>
                <w:b/>
                <w:sz w:val="22"/>
                <w:szCs w:val="22"/>
              </w:rPr>
              <w:t>Research Ideas</w:t>
            </w:r>
          </w:p>
        </w:tc>
        <w:tc>
          <w:tcPr>
            <w:tcW w:w="2795" w:type="dxa"/>
            <w:vAlign w:val="center"/>
          </w:tcPr>
          <w:p w14:paraId="17D07E47" w14:textId="77777777" w:rsidR="00317CF3" w:rsidRPr="0074672E" w:rsidRDefault="00317CF3" w:rsidP="000B12AF">
            <w:pPr>
              <w:snapToGrid w:val="0"/>
              <w:rPr>
                <w:sz w:val="22"/>
                <w:szCs w:val="22"/>
              </w:rPr>
            </w:pPr>
          </w:p>
        </w:tc>
      </w:tr>
      <w:tr w:rsidR="00317CF3" w:rsidRPr="00C30CC4" w14:paraId="7B01E53C" w14:textId="77777777" w:rsidTr="000B12AF">
        <w:tc>
          <w:tcPr>
            <w:tcW w:w="1112" w:type="dxa"/>
            <w:vMerge/>
            <w:vAlign w:val="center"/>
          </w:tcPr>
          <w:p w14:paraId="08346011" w14:textId="675470E4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779BDEAD" w14:textId="2AFCCB31" w:rsidR="00317CF3" w:rsidRDefault="00317CF3" w:rsidP="000B12AF">
            <w:pPr>
              <w:snapToGrid w:val="0"/>
              <w:rPr>
                <w:color w:val="FF0000"/>
                <w:sz w:val="22"/>
                <w:szCs w:val="22"/>
              </w:rPr>
            </w:pPr>
            <w:r w:rsidRPr="009F539C">
              <w:rPr>
                <w:sz w:val="22"/>
                <w:szCs w:val="22"/>
              </w:rPr>
              <w:t>User’s experiences with FDD? How do users respond to the alarms, correct or false?</w:t>
            </w:r>
            <w:r w:rsidRPr="00C30CC4">
              <w:rPr>
                <w:color w:val="FF0000"/>
                <w:sz w:val="22"/>
                <w:szCs w:val="22"/>
              </w:rPr>
              <w:t xml:space="preserve"> </w:t>
            </w:r>
          </w:p>
          <w:p w14:paraId="5BED7F62" w14:textId="77777777" w:rsidR="00317CF3" w:rsidRDefault="00317CF3" w:rsidP="000B12AF">
            <w:pPr>
              <w:snapToGrid w:val="0"/>
              <w:rPr>
                <w:color w:val="FF0000"/>
                <w:sz w:val="22"/>
                <w:szCs w:val="22"/>
              </w:rPr>
            </w:pPr>
          </w:p>
          <w:p w14:paraId="5C561276" w14:textId="282B6605" w:rsidR="00317CF3" w:rsidRDefault="00317CF3" w:rsidP="000B12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14:paraId="4A21ED0D" w14:textId="6174356D" w:rsidR="00317CF3" w:rsidRDefault="00317CF3" w:rsidP="000B12A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9F539C">
              <w:rPr>
                <w:color w:val="000000" w:themeColor="text1"/>
                <w:sz w:val="22"/>
                <w:szCs w:val="22"/>
              </w:rPr>
              <w:t>Austin Rodgers, PNNL</w:t>
            </w:r>
          </w:p>
          <w:p w14:paraId="42328830" w14:textId="279F815D" w:rsidR="00317CF3" w:rsidRDefault="00317CF3" w:rsidP="000B12A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05EB6">
              <w:rPr>
                <w:color w:val="000000" w:themeColor="text1"/>
                <w:sz w:val="22"/>
                <w:szCs w:val="22"/>
              </w:rPr>
              <w:t>Laura Towsley (laura.towsley@rycom.com).</w:t>
            </w:r>
          </w:p>
          <w:p w14:paraId="194B9698" w14:textId="77777777" w:rsidR="00317CF3" w:rsidRPr="00C247B1" w:rsidRDefault="00317CF3" w:rsidP="000B12AF">
            <w:pPr>
              <w:snapToGrid w:val="0"/>
              <w:rPr>
                <w:sz w:val="22"/>
                <w:szCs w:val="22"/>
              </w:rPr>
            </w:pPr>
            <w:r w:rsidRPr="00C247B1">
              <w:rPr>
                <w:sz w:val="22"/>
                <w:szCs w:val="22"/>
              </w:rPr>
              <w:t>Scott West</w:t>
            </w:r>
          </w:p>
          <w:p w14:paraId="6D0F3219" w14:textId="3FEF1FD4" w:rsidR="00317CF3" w:rsidRPr="00C30CC4" w:rsidRDefault="00317CF3" w:rsidP="000B12AF">
            <w:pPr>
              <w:snapToGrid w:val="0"/>
              <w:rPr>
                <w:color w:val="FF0000"/>
                <w:sz w:val="22"/>
                <w:szCs w:val="22"/>
              </w:rPr>
            </w:pPr>
            <w:r w:rsidRPr="00C247B1">
              <w:rPr>
                <w:sz w:val="22"/>
                <w:szCs w:val="22"/>
              </w:rPr>
              <w:t>Eric Yang</w:t>
            </w:r>
          </w:p>
        </w:tc>
      </w:tr>
      <w:tr w:rsidR="00317CF3" w:rsidRPr="00621CB5" w14:paraId="423B704E" w14:textId="77777777" w:rsidTr="000B12AF">
        <w:tc>
          <w:tcPr>
            <w:tcW w:w="1112" w:type="dxa"/>
            <w:vMerge/>
            <w:vAlign w:val="center"/>
          </w:tcPr>
          <w:p w14:paraId="135A3D24" w14:textId="0354A79E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4BBF3E6E" w14:textId="77777777" w:rsidR="00317CF3" w:rsidRPr="00205EB6" w:rsidRDefault="00317CF3" w:rsidP="000B12AF">
            <w:pPr>
              <w:snapToGrid w:val="0"/>
              <w:rPr>
                <w:rFonts w:eastAsia="MS Mincho"/>
                <w:sz w:val="22"/>
                <w:szCs w:val="22"/>
                <w:lang w:eastAsia="ja-JP"/>
              </w:rPr>
            </w:pPr>
            <w:r w:rsidRPr="00205EB6">
              <w:rPr>
                <w:rFonts w:eastAsia="MS Mincho"/>
                <w:sz w:val="22"/>
                <w:szCs w:val="22"/>
                <w:lang w:eastAsia="ja-JP"/>
              </w:rPr>
              <w:t>Literature Review and Survey of existing FDD methods and data</w:t>
            </w:r>
          </w:p>
          <w:p w14:paraId="02CAEF49" w14:textId="77777777" w:rsidR="00317CF3" w:rsidRPr="00414B96" w:rsidRDefault="00317CF3" w:rsidP="000B12AF">
            <w:pPr>
              <w:pStyle w:val="Default"/>
              <w:rPr>
                <w:color w:val="auto"/>
                <w:sz w:val="18"/>
                <w:szCs w:val="22"/>
              </w:rPr>
            </w:pPr>
            <w:r w:rsidRPr="00414B96">
              <w:rPr>
                <w:color w:val="auto"/>
                <w:sz w:val="18"/>
                <w:szCs w:val="22"/>
              </w:rPr>
              <w:t xml:space="preserve">ATL - FDD literature review and central location for download data/methods etc. (collection of methods) – existing </w:t>
            </w:r>
          </w:p>
          <w:p w14:paraId="3E4A7785" w14:textId="2EF6AFE6" w:rsidR="00317CF3" w:rsidRPr="00414B96" w:rsidRDefault="00317CF3" w:rsidP="000B12AF">
            <w:pPr>
              <w:pStyle w:val="Default"/>
              <w:rPr>
                <w:color w:val="auto"/>
                <w:sz w:val="18"/>
                <w:szCs w:val="22"/>
              </w:rPr>
            </w:pPr>
            <w:r w:rsidRPr="00414B96">
              <w:rPr>
                <w:color w:val="auto"/>
                <w:sz w:val="18"/>
                <w:szCs w:val="22"/>
              </w:rPr>
              <w:t xml:space="preserve">Not only compiling but </w:t>
            </w:r>
            <w:r>
              <w:rPr>
                <w:color w:val="auto"/>
                <w:sz w:val="18"/>
                <w:szCs w:val="22"/>
              </w:rPr>
              <w:t xml:space="preserve">the </w:t>
            </w:r>
            <w:r w:rsidRPr="00414B96">
              <w:rPr>
                <w:color w:val="auto"/>
                <w:sz w:val="18"/>
                <w:szCs w:val="22"/>
              </w:rPr>
              <w:t>assessment of new technologies (indicating last large-scale study is 2005)</w:t>
            </w:r>
          </w:p>
          <w:p w14:paraId="07E843A8" w14:textId="49D80568" w:rsidR="00317CF3" w:rsidRPr="0074672E" w:rsidRDefault="00317CF3" w:rsidP="000B12AF">
            <w:pPr>
              <w:snapToGrid w:val="0"/>
              <w:rPr>
                <w:sz w:val="22"/>
                <w:szCs w:val="22"/>
              </w:rPr>
            </w:pPr>
            <w:r w:rsidRPr="00414B96">
              <w:rPr>
                <w:sz w:val="18"/>
                <w:szCs w:val="22"/>
              </w:rPr>
              <w:t>Characterization (qualitatively) evaluate. IEA 34.</w:t>
            </w:r>
          </w:p>
        </w:tc>
        <w:tc>
          <w:tcPr>
            <w:tcW w:w="2795" w:type="dxa"/>
            <w:vAlign w:val="center"/>
          </w:tcPr>
          <w:p w14:paraId="747832A2" w14:textId="0B052AB2" w:rsidR="00317CF3" w:rsidRPr="0074672E" w:rsidRDefault="00317CF3" w:rsidP="000B12AF">
            <w:pPr>
              <w:snapToGrid w:val="0"/>
              <w:rPr>
                <w:sz w:val="22"/>
                <w:szCs w:val="22"/>
              </w:rPr>
            </w:pPr>
            <w:r w:rsidRPr="00205EB6">
              <w:rPr>
                <w:sz w:val="22"/>
                <w:szCs w:val="22"/>
              </w:rPr>
              <w:t>Nick Gayeski, Jin Wen</w:t>
            </w:r>
          </w:p>
        </w:tc>
      </w:tr>
      <w:tr w:rsidR="00317CF3" w:rsidRPr="00621CB5" w14:paraId="3C0637BC" w14:textId="77777777" w:rsidTr="000B12AF">
        <w:trPr>
          <w:trHeight w:val="1083"/>
        </w:trPr>
        <w:tc>
          <w:tcPr>
            <w:tcW w:w="1112" w:type="dxa"/>
            <w:vMerge/>
            <w:vAlign w:val="center"/>
          </w:tcPr>
          <w:p w14:paraId="7890E0D0" w14:textId="50D2CEE5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1EEC4287" w14:textId="77777777" w:rsidR="00317CF3" w:rsidRDefault="00317CF3" w:rsidP="000B12AF">
            <w:pPr>
              <w:snapToGrid w:val="0"/>
              <w:rPr>
                <w:sz w:val="22"/>
                <w:szCs w:val="22"/>
              </w:rPr>
            </w:pPr>
            <w:r w:rsidRPr="007D6BD0">
              <w:rPr>
                <w:sz w:val="22"/>
                <w:szCs w:val="22"/>
              </w:rPr>
              <w:t>Automated Alarm Management: DDC alarms used for FDD? (automated analytics to correct alarms or utilize alarms) – retu</w:t>
            </w:r>
            <w:r>
              <w:rPr>
                <w:sz w:val="22"/>
                <w:szCs w:val="22"/>
              </w:rPr>
              <w:t>r</w:t>
            </w:r>
            <w:r w:rsidRPr="007D6BD0">
              <w:rPr>
                <w:sz w:val="22"/>
                <w:szCs w:val="22"/>
              </w:rPr>
              <w:t>n the threshold to reduce false alarms in an automated process</w:t>
            </w:r>
            <w:r>
              <w:rPr>
                <w:sz w:val="22"/>
                <w:szCs w:val="22"/>
              </w:rPr>
              <w:t>.</w:t>
            </w:r>
          </w:p>
          <w:p w14:paraId="690D7DE7" w14:textId="06C01D1D" w:rsidR="00317CF3" w:rsidRDefault="00317CF3" w:rsidP="000B12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14:paraId="3E3A7E35" w14:textId="125BDA91" w:rsidR="00317CF3" w:rsidRPr="0020255E" w:rsidRDefault="00317CF3" w:rsidP="000B12AF">
            <w:pPr>
              <w:snapToGrid w:val="0"/>
              <w:rPr>
                <w:sz w:val="22"/>
                <w:szCs w:val="22"/>
              </w:rPr>
            </w:pPr>
            <w:r w:rsidRPr="0020255E">
              <w:rPr>
                <w:sz w:val="22"/>
                <w:szCs w:val="22"/>
              </w:rPr>
              <w:t>Carol Lomonaco</w:t>
            </w:r>
            <w:r>
              <w:rPr>
                <w:sz w:val="22"/>
                <w:szCs w:val="22"/>
              </w:rPr>
              <w:t>,</w:t>
            </w:r>
          </w:p>
          <w:p w14:paraId="45A3E7F3" w14:textId="075B24BD" w:rsidR="00317CF3" w:rsidRPr="006F6778" w:rsidRDefault="00317CF3" w:rsidP="000B12AF">
            <w:pPr>
              <w:snapToGrid w:val="0"/>
              <w:rPr>
                <w:sz w:val="22"/>
                <w:szCs w:val="22"/>
              </w:rPr>
            </w:pPr>
            <w:r w:rsidRPr="0020255E">
              <w:rPr>
                <w:sz w:val="22"/>
                <w:szCs w:val="22"/>
              </w:rPr>
              <w:t>Reinhard Seidl, Li Song, Te Qi, John Wallace</w:t>
            </w:r>
          </w:p>
        </w:tc>
      </w:tr>
      <w:tr w:rsidR="00317CF3" w:rsidRPr="00621CB5" w14:paraId="5CE7C4D1" w14:textId="77777777" w:rsidTr="000B12AF">
        <w:tc>
          <w:tcPr>
            <w:tcW w:w="1112" w:type="dxa"/>
            <w:vMerge/>
            <w:vAlign w:val="center"/>
          </w:tcPr>
          <w:p w14:paraId="4E68E189" w14:textId="0F455EA2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vAlign w:val="center"/>
          </w:tcPr>
          <w:p w14:paraId="3EF53F2E" w14:textId="77777777" w:rsidR="00317CF3" w:rsidRDefault="00317CF3" w:rsidP="00C42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FDD for connected buildings and communities</w:t>
            </w:r>
          </w:p>
          <w:p w14:paraId="6185AB24" w14:textId="77777777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  <w:p w14:paraId="28A12893" w14:textId="60035F57" w:rsidR="00317CF3" w:rsidRDefault="00317CF3" w:rsidP="00C42A88">
            <w:pPr>
              <w:snapToGrid w:val="0"/>
              <w:rPr>
                <w:sz w:val="22"/>
                <w:szCs w:val="22"/>
              </w:rPr>
            </w:pPr>
            <w:r w:rsidRPr="00BB6C16">
              <w:rPr>
                <w:sz w:val="22"/>
                <w:szCs w:val="22"/>
              </w:rPr>
              <w:t>A project group for broadening the concept of FDD</w:t>
            </w:r>
          </w:p>
        </w:tc>
        <w:tc>
          <w:tcPr>
            <w:tcW w:w="2795" w:type="dxa"/>
            <w:vAlign w:val="center"/>
          </w:tcPr>
          <w:p w14:paraId="7C6D6F95" w14:textId="5C19B638" w:rsidR="00317CF3" w:rsidRDefault="00317CF3" w:rsidP="00C42A8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Lixia Wu, </w:t>
            </w:r>
            <w:r w:rsidRPr="00AC1293">
              <w:rPr>
                <w:bCs/>
                <w:sz w:val="22"/>
                <w:szCs w:val="22"/>
              </w:rPr>
              <w:t>Zac Siefker</w:t>
            </w:r>
            <w:r>
              <w:rPr>
                <w:bCs/>
                <w:sz w:val="22"/>
                <w:szCs w:val="22"/>
              </w:rPr>
              <w:t>, Liping Wang, …</w:t>
            </w:r>
          </w:p>
          <w:p w14:paraId="499E6725" w14:textId="77777777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</w:tr>
      <w:tr w:rsidR="00317CF3" w:rsidRPr="00621CB5" w14:paraId="5B5697A0" w14:textId="77777777" w:rsidTr="00744431">
        <w:tc>
          <w:tcPr>
            <w:tcW w:w="1112" w:type="dxa"/>
            <w:vMerge/>
            <w:vAlign w:val="center"/>
          </w:tcPr>
          <w:p w14:paraId="5594F4B2" w14:textId="2E372838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42DB" w14:textId="3924A708" w:rsidR="00317CF3" w:rsidRPr="009A549E" w:rsidRDefault="00317CF3" w:rsidP="00C42A8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</w:t>
            </w:r>
            <w:r w:rsidRPr="009A549E">
              <w:rPr>
                <w:b/>
                <w:sz w:val="22"/>
                <w:szCs w:val="22"/>
              </w:rPr>
              <w:t xml:space="preserve"> ideas and discussions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9E82" w14:textId="64392F4E" w:rsidR="00317CF3" w:rsidRPr="00641FC6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</w:tr>
      <w:tr w:rsidR="00317CF3" w:rsidRPr="00621CB5" w14:paraId="77977C7B" w14:textId="77777777" w:rsidTr="00053CD4"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14:paraId="31949623" w14:textId="77777777" w:rsidR="00317CF3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088C5" w14:textId="380887CF" w:rsidR="00317CF3" w:rsidRPr="00E811EC" w:rsidRDefault="00317CF3" w:rsidP="00C42A8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of fault feature selection (what data to use)?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AF0E" w14:textId="77777777" w:rsidR="00317CF3" w:rsidRPr="00641FC6" w:rsidRDefault="00317CF3" w:rsidP="00C42A88">
            <w:pPr>
              <w:snapToGrid w:val="0"/>
              <w:rPr>
                <w:sz w:val="22"/>
                <w:szCs w:val="22"/>
              </w:rPr>
            </w:pPr>
          </w:p>
        </w:tc>
      </w:tr>
      <w:tr w:rsidR="00C42A88" w:rsidRPr="00621CB5" w14:paraId="3B9E53F0" w14:textId="77777777" w:rsidTr="000B12AF">
        <w:trPr>
          <w:trHeight w:val="70"/>
        </w:trPr>
        <w:tc>
          <w:tcPr>
            <w:tcW w:w="9303" w:type="dxa"/>
            <w:gridSpan w:val="3"/>
            <w:tcBorders>
              <w:top w:val="single" w:sz="4" w:space="0" w:color="auto"/>
            </w:tcBorders>
            <w:vAlign w:val="center"/>
          </w:tcPr>
          <w:p w14:paraId="2403AA05" w14:textId="77777777" w:rsidR="00C42A88" w:rsidRPr="00641FC6" w:rsidRDefault="00C42A88" w:rsidP="00C42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</w:tr>
    </w:tbl>
    <w:p w14:paraId="4406FB06" w14:textId="77777777" w:rsidR="00C07907" w:rsidRPr="00F0163E" w:rsidRDefault="00C07907" w:rsidP="00C07907">
      <w:pPr>
        <w:spacing w:line="240" w:lineRule="exact"/>
        <w:ind w:right="-720"/>
        <w:rPr>
          <w:b/>
        </w:rPr>
      </w:pPr>
    </w:p>
    <w:p w14:paraId="5AD8F10A" w14:textId="77777777" w:rsidR="00C07907" w:rsidRDefault="00C07907" w:rsidP="00C07907">
      <w:pPr>
        <w:spacing w:line="240" w:lineRule="exact"/>
        <w:ind w:right="-720"/>
        <w:rPr>
          <w:b/>
        </w:rPr>
      </w:pPr>
      <w:r w:rsidRPr="00F0163E">
        <w:rPr>
          <w:b/>
        </w:rPr>
        <w:t xml:space="preserve"> </w:t>
      </w:r>
    </w:p>
    <w:sectPr w:rsidR="00C07907" w:rsidSect="00D3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E06E" w14:textId="77777777" w:rsidR="001A66B1" w:rsidRDefault="001A66B1" w:rsidP="0052710E">
      <w:r>
        <w:separator/>
      </w:r>
    </w:p>
  </w:endnote>
  <w:endnote w:type="continuationSeparator" w:id="0">
    <w:p w14:paraId="2B7F8E91" w14:textId="77777777" w:rsidR="001A66B1" w:rsidRDefault="001A66B1" w:rsidP="0052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CF4E" w14:textId="77777777" w:rsidR="001A66B1" w:rsidRDefault="001A66B1" w:rsidP="0052710E">
      <w:r>
        <w:separator/>
      </w:r>
    </w:p>
  </w:footnote>
  <w:footnote w:type="continuationSeparator" w:id="0">
    <w:p w14:paraId="2BB12BC7" w14:textId="77777777" w:rsidR="001A66B1" w:rsidRDefault="001A66B1" w:rsidP="0052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89B"/>
    <w:multiLevelType w:val="hybridMultilevel"/>
    <w:tmpl w:val="FA3EC65A"/>
    <w:lvl w:ilvl="0" w:tplc="FB548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42B"/>
    <w:multiLevelType w:val="hybridMultilevel"/>
    <w:tmpl w:val="EE24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3392"/>
    <w:multiLevelType w:val="hybridMultilevel"/>
    <w:tmpl w:val="ED102758"/>
    <w:lvl w:ilvl="0" w:tplc="A2E47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D97"/>
    <w:multiLevelType w:val="hybridMultilevel"/>
    <w:tmpl w:val="1D5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F0B74"/>
    <w:multiLevelType w:val="hybridMultilevel"/>
    <w:tmpl w:val="154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017F"/>
    <w:multiLevelType w:val="hybridMultilevel"/>
    <w:tmpl w:val="3AC6171C"/>
    <w:lvl w:ilvl="0" w:tplc="A2E47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A08B9"/>
    <w:multiLevelType w:val="hybridMultilevel"/>
    <w:tmpl w:val="89C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4487E"/>
    <w:multiLevelType w:val="hybridMultilevel"/>
    <w:tmpl w:val="8AD6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373">
    <w:abstractNumId w:val="2"/>
  </w:num>
  <w:num w:numId="2" w16cid:durableId="1844779283">
    <w:abstractNumId w:val="0"/>
  </w:num>
  <w:num w:numId="3" w16cid:durableId="58674646">
    <w:abstractNumId w:val="5"/>
  </w:num>
  <w:num w:numId="4" w16cid:durableId="1160539430">
    <w:abstractNumId w:val="6"/>
  </w:num>
  <w:num w:numId="5" w16cid:durableId="985862428">
    <w:abstractNumId w:val="1"/>
  </w:num>
  <w:num w:numId="6" w16cid:durableId="1340543935">
    <w:abstractNumId w:val="7"/>
  </w:num>
  <w:num w:numId="7" w16cid:durableId="719088187">
    <w:abstractNumId w:val="4"/>
  </w:num>
  <w:num w:numId="8" w16cid:durableId="1533617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TEwMja1MLEwMjFT0lEKTi0uzszPAykwNqoFADDKgjktAAAA"/>
  </w:docVars>
  <w:rsids>
    <w:rsidRoot w:val="00692616"/>
    <w:rsid w:val="000037E6"/>
    <w:rsid w:val="0003075A"/>
    <w:rsid w:val="00036FC4"/>
    <w:rsid w:val="00041B30"/>
    <w:rsid w:val="00080288"/>
    <w:rsid w:val="00086558"/>
    <w:rsid w:val="000B12AF"/>
    <w:rsid w:val="000B4158"/>
    <w:rsid w:val="000E3EB2"/>
    <w:rsid w:val="001308F1"/>
    <w:rsid w:val="001518DE"/>
    <w:rsid w:val="001529D5"/>
    <w:rsid w:val="001668D1"/>
    <w:rsid w:val="00175A21"/>
    <w:rsid w:val="00191C25"/>
    <w:rsid w:val="00196AAB"/>
    <w:rsid w:val="001A1142"/>
    <w:rsid w:val="001A66B1"/>
    <w:rsid w:val="001B25E9"/>
    <w:rsid w:val="001C796B"/>
    <w:rsid w:val="001D5394"/>
    <w:rsid w:val="001F0046"/>
    <w:rsid w:val="001F5CE7"/>
    <w:rsid w:val="001F6E17"/>
    <w:rsid w:val="002053C5"/>
    <w:rsid w:val="00205EB6"/>
    <w:rsid w:val="0020711E"/>
    <w:rsid w:val="00275760"/>
    <w:rsid w:val="00293B46"/>
    <w:rsid w:val="00295049"/>
    <w:rsid w:val="002B287B"/>
    <w:rsid w:val="002D1587"/>
    <w:rsid w:val="002D30DF"/>
    <w:rsid w:val="002F3110"/>
    <w:rsid w:val="00311097"/>
    <w:rsid w:val="00317CF3"/>
    <w:rsid w:val="0032465D"/>
    <w:rsid w:val="00333B34"/>
    <w:rsid w:val="00360BC1"/>
    <w:rsid w:val="00377CE5"/>
    <w:rsid w:val="003848E3"/>
    <w:rsid w:val="00396779"/>
    <w:rsid w:val="003C0632"/>
    <w:rsid w:val="003C27BB"/>
    <w:rsid w:val="003E346A"/>
    <w:rsid w:val="003F5FCF"/>
    <w:rsid w:val="00406FFD"/>
    <w:rsid w:val="00411B13"/>
    <w:rsid w:val="0043040E"/>
    <w:rsid w:val="00443676"/>
    <w:rsid w:val="00443D6B"/>
    <w:rsid w:val="00454C51"/>
    <w:rsid w:val="00471A32"/>
    <w:rsid w:val="00472379"/>
    <w:rsid w:val="004769B1"/>
    <w:rsid w:val="00483D09"/>
    <w:rsid w:val="004A777D"/>
    <w:rsid w:val="004D79DF"/>
    <w:rsid w:val="004E327F"/>
    <w:rsid w:val="004F5E36"/>
    <w:rsid w:val="0052061E"/>
    <w:rsid w:val="0052710E"/>
    <w:rsid w:val="00533192"/>
    <w:rsid w:val="00533610"/>
    <w:rsid w:val="005449FE"/>
    <w:rsid w:val="00552EE3"/>
    <w:rsid w:val="00562712"/>
    <w:rsid w:val="0058731A"/>
    <w:rsid w:val="005A55BF"/>
    <w:rsid w:val="005B26AD"/>
    <w:rsid w:val="005C126F"/>
    <w:rsid w:val="005C1BBD"/>
    <w:rsid w:val="005C25AC"/>
    <w:rsid w:val="005C7061"/>
    <w:rsid w:val="005D0E5E"/>
    <w:rsid w:val="00601549"/>
    <w:rsid w:val="00622EF3"/>
    <w:rsid w:val="00662798"/>
    <w:rsid w:val="00664189"/>
    <w:rsid w:val="00672289"/>
    <w:rsid w:val="006747FA"/>
    <w:rsid w:val="00681A4C"/>
    <w:rsid w:val="00687C37"/>
    <w:rsid w:val="00692616"/>
    <w:rsid w:val="006A0124"/>
    <w:rsid w:val="006A0718"/>
    <w:rsid w:val="006A3A2C"/>
    <w:rsid w:val="006A5A6C"/>
    <w:rsid w:val="006B5578"/>
    <w:rsid w:val="006C006F"/>
    <w:rsid w:val="006C2F6E"/>
    <w:rsid w:val="006C3835"/>
    <w:rsid w:val="006E6170"/>
    <w:rsid w:val="006F543B"/>
    <w:rsid w:val="006F5550"/>
    <w:rsid w:val="006F6778"/>
    <w:rsid w:val="007064B8"/>
    <w:rsid w:val="00706964"/>
    <w:rsid w:val="0071174C"/>
    <w:rsid w:val="007209F9"/>
    <w:rsid w:val="00726622"/>
    <w:rsid w:val="00732F9A"/>
    <w:rsid w:val="00734BEE"/>
    <w:rsid w:val="00774F32"/>
    <w:rsid w:val="007879C7"/>
    <w:rsid w:val="00791EF1"/>
    <w:rsid w:val="007A46AB"/>
    <w:rsid w:val="007A499E"/>
    <w:rsid w:val="007A50B5"/>
    <w:rsid w:val="007C16F1"/>
    <w:rsid w:val="007E0406"/>
    <w:rsid w:val="007E5D3D"/>
    <w:rsid w:val="007E5F0C"/>
    <w:rsid w:val="007E798C"/>
    <w:rsid w:val="00876842"/>
    <w:rsid w:val="008940E9"/>
    <w:rsid w:val="00894FA4"/>
    <w:rsid w:val="008A39B9"/>
    <w:rsid w:val="008C2C7B"/>
    <w:rsid w:val="008C39F4"/>
    <w:rsid w:val="008E4169"/>
    <w:rsid w:val="008E5DDC"/>
    <w:rsid w:val="008E63B7"/>
    <w:rsid w:val="008F7583"/>
    <w:rsid w:val="00905D2B"/>
    <w:rsid w:val="00907382"/>
    <w:rsid w:val="009178BA"/>
    <w:rsid w:val="009223EE"/>
    <w:rsid w:val="00924ABD"/>
    <w:rsid w:val="009347B9"/>
    <w:rsid w:val="00936B45"/>
    <w:rsid w:val="009434F0"/>
    <w:rsid w:val="009522F6"/>
    <w:rsid w:val="00957B71"/>
    <w:rsid w:val="00965C23"/>
    <w:rsid w:val="00965C2D"/>
    <w:rsid w:val="0097794D"/>
    <w:rsid w:val="009A44EC"/>
    <w:rsid w:val="009C1623"/>
    <w:rsid w:val="009C6F6D"/>
    <w:rsid w:val="009C7B62"/>
    <w:rsid w:val="009F539C"/>
    <w:rsid w:val="00A11B73"/>
    <w:rsid w:val="00A15A4F"/>
    <w:rsid w:val="00A16161"/>
    <w:rsid w:val="00A21D71"/>
    <w:rsid w:val="00A23E6A"/>
    <w:rsid w:val="00A32EE8"/>
    <w:rsid w:val="00A37B4B"/>
    <w:rsid w:val="00A53A1A"/>
    <w:rsid w:val="00A62975"/>
    <w:rsid w:val="00A634C9"/>
    <w:rsid w:val="00A67085"/>
    <w:rsid w:val="00A67C40"/>
    <w:rsid w:val="00A67FEE"/>
    <w:rsid w:val="00A75DD5"/>
    <w:rsid w:val="00A81E16"/>
    <w:rsid w:val="00A85BB3"/>
    <w:rsid w:val="00A96006"/>
    <w:rsid w:val="00AC0BD9"/>
    <w:rsid w:val="00AC1293"/>
    <w:rsid w:val="00AC56D2"/>
    <w:rsid w:val="00AC724D"/>
    <w:rsid w:val="00AD4CDD"/>
    <w:rsid w:val="00AD52A3"/>
    <w:rsid w:val="00B00E8E"/>
    <w:rsid w:val="00B039CC"/>
    <w:rsid w:val="00B22A7D"/>
    <w:rsid w:val="00B50742"/>
    <w:rsid w:val="00B72C26"/>
    <w:rsid w:val="00B846DC"/>
    <w:rsid w:val="00B8602B"/>
    <w:rsid w:val="00BB6B70"/>
    <w:rsid w:val="00BB6C16"/>
    <w:rsid w:val="00BC7496"/>
    <w:rsid w:val="00BE4C75"/>
    <w:rsid w:val="00BE6E16"/>
    <w:rsid w:val="00BF46C3"/>
    <w:rsid w:val="00C067BA"/>
    <w:rsid w:val="00C06A02"/>
    <w:rsid w:val="00C07907"/>
    <w:rsid w:val="00C11884"/>
    <w:rsid w:val="00C23E33"/>
    <w:rsid w:val="00C247B1"/>
    <w:rsid w:val="00C30CC4"/>
    <w:rsid w:val="00C42A88"/>
    <w:rsid w:val="00C42ED1"/>
    <w:rsid w:val="00C7431D"/>
    <w:rsid w:val="00C758A7"/>
    <w:rsid w:val="00C8708F"/>
    <w:rsid w:val="00CA729C"/>
    <w:rsid w:val="00CB4858"/>
    <w:rsid w:val="00CD5F88"/>
    <w:rsid w:val="00D31E01"/>
    <w:rsid w:val="00D900C1"/>
    <w:rsid w:val="00DA377F"/>
    <w:rsid w:val="00DA694A"/>
    <w:rsid w:val="00DF1369"/>
    <w:rsid w:val="00E019E2"/>
    <w:rsid w:val="00E17E71"/>
    <w:rsid w:val="00E245D8"/>
    <w:rsid w:val="00E35201"/>
    <w:rsid w:val="00E461F0"/>
    <w:rsid w:val="00E762F5"/>
    <w:rsid w:val="00E806E2"/>
    <w:rsid w:val="00E811EC"/>
    <w:rsid w:val="00E912F9"/>
    <w:rsid w:val="00E95974"/>
    <w:rsid w:val="00EA1005"/>
    <w:rsid w:val="00EC5FB1"/>
    <w:rsid w:val="00EC72D7"/>
    <w:rsid w:val="00EE7CF1"/>
    <w:rsid w:val="00F05210"/>
    <w:rsid w:val="00F1082D"/>
    <w:rsid w:val="00F13907"/>
    <w:rsid w:val="00F3015C"/>
    <w:rsid w:val="00F411DA"/>
    <w:rsid w:val="00F44DEE"/>
    <w:rsid w:val="00F56072"/>
    <w:rsid w:val="00F63DFD"/>
    <w:rsid w:val="00F64B68"/>
    <w:rsid w:val="00F7149A"/>
    <w:rsid w:val="00F759B2"/>
    <w:rsid w:val="00F9446B"/>
    <w:rsid w:val="00F96316"/>
    <w:rsid w:val="00FA0BDD"/>
    <w:rsid w:val="00FC27CE"/>
    <w:rsid w:val="00FD4CAB"/>
    <w:rsid w:val="00FD7EF8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571E"/>
  <w15:chartTrackingRefBased/>
  <w15:docId w15:val="{534277B5-5E62-4024-A3CB-24A6BF90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079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9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31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cent-color">
    <w:name w:val="accent-color"/>
    <w:basedOn w:val="Normal"/>
    <w:rsid w:val="00533192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NormalWeb">
    <w:name w:val="Normal (Web)"/>
    <w:basedOn w:val="Normal"/>
    <w:uiPriority w:val="99"/>
    <w:unhideWhenUsed/>
    <w:rsid w:val="00533192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C87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E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0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3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539C"/>
    <w:rPr>
      <w:color w:val="605E5C"/>
      <w:shd w:val="clear" w:color="auto" w:fill="E1DFDD"/>
    </w:rPr>
  </w:style>
  <w:style w:type="character" w:customStyle="1" w:styleId="sessionlisttitle">
    <w:name w:val="sessionlisttitle"/>
    <w:basedOn w:val="DefaultParagraphFont"/>
    <w:rsid w:val="00664189"/>
  </w:style>
  <w:style w:type="character" w:customStyle="1" w:styleId="topdisplay">
    <w:name w:val="topdisplay"/>
    <w:basedOn w:val="DefaultParagraphFont"/>
    <w:rsid w:val="001A1142"/>
  </w:style>
  <w:style w:type="paragraph" w:customStyle="1" w:styleId="Default">
    <w:name w:val="Default"/>
    <w:uiPriority w:val="99"/>
    <w:rsid w:val="00205EB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848E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67C4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MxYmNiMzAtYWZiYy00MzViLThjZmMtMjM5NGY4MGRmOTkx%40thread.v2/0?context=%7b%22Tid%22%3a%2214e9186d-b92e-4c6d-b3d6-54b54c168413%22%2c%22Oid%22%3a%222fb3cbd9-583f-446e-9332-da0c2b6fbea1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Wang</dc:creator>
  <cp:keywords/>
  <dc:description/>
  <cp:lastModifiedBy>LipingWang</cp:lastModifiedBy>
  <cp:revision>36</cp:revision>
  <dcterms:created xsi:type="dcterms:W3CDTF">2021-06-21T17:38:00Z</dcterms:created>
  <dcterms:modified xsi:type="dcterms:W3CDTF">2022-06-06T23:12:00Z</dcterms:modified>
</cp:coreProperties>
</file>