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0EDC" w:rsidRDefault="00A40EDC">
      <w:pPr>
        <w:spacing w:after="0" w:line="240" w:lineRule="auto"/>
        <w:ind w:left="402" w:right="280"/>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Minutes</w:t>
      </w:r>
    </w:p>
    <w:p w:rsidR="00D732B9" w:rsidRDefault="003D7D90">
      <w:pPr>
        <w:spacing w:after="0" w:line="240" w:lineRule="auto"/>
        <w:ind w:left="402" w:right="280"/>
        <w:jc w:val="center"/>
        <w:rPr>
          <w:rFonts w:ascii="Times New Roman" w:eastAsia="Times New Roman" w:hAnsi="Times New Roman" w:cs="Times New Roman"/>
          <w:sz w:val="32"/>
          <w:szCs w:val="32"/>
        </w:rPr>
      </w:pPr>
      <w:r>
        <w:rPr>
          <w:rFonts w:ascii="Times New Roman" w:eastAsia="Times New Roman" w:hAnsi="Times New Roman" w:cs="Times New Roman"/>
          <w:b/>
          <w:bCs/>
          <w:sz w:val="32"/>
          <w:szCs w:val="32"/>
        </w:rPr>
        <w:t>TC 7.6 Monitoring and Ene</w:t>
      </w:r>
      <w:r>
        <w:rPr>
          <w:rFonts w:ascii="Times New Roman" w:eastAsia="Times New Roman" w:hAnsi="Times New Roman" w:cs="Times New Roman"/>
          <w:b/>
          <w:bCs/>
          <w:spacing w:val="-1"/>
          <w:sz w:val="32"/>
          <w:szCs w:val="32"/>
        </w:rPr>
        <w:t>r</w:t>
      </w:r>
      <w:r>
        <w:rPr>
          <w:rFonts w:ascii="Times New Roman" w:eastAsia="Times New Roman" w:hAnsi="Times New Roman" w:cs="Times New Roman"/>
          <w:b/>
          <w:bCs/>
          <w:sz w:val="32"/>
          <w:szCs w:val="32"/>
        </w:rPr>
        <w:t>gy Performance Subcommittee</w:t>
      </w:r>
    </w:p>
    <w:p w:rsidR="00D732B9" w:rsidRDefault="00ED0231">
      <w:pPr>
        <w:spacing w:before="29" w:after="0" w:line="240" w:lineRule="auto"/>
        <w:ind w:left="1982" w:right="186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Orlando</w:t>
      </w:r>
      <w:r w:rsidR="003D7D90">
        <w:rPr>
          <w:rFonts w:ascii="Times New Roman" w:eastAsia="Times New Roman" w:hAnsi="Times New Roman" w:cs="Times New Roman"/>
          <w:sz w:val="28"/>
          <w:szCs w:val="28"/>
        </w:rPr>
        <w:t>,</w:t>
      </w:r>
      <w:r w:rsidR="003D7D90">
        <w:rPr>
          <w:rFonts w:ascii="Times New Roman" w:eastAsia="Times New Roman" w:hAnsi="Times New Roman" w:cs="Times New Roman"/>
          <w:spacing w:val="-10"/>
          <w:sz w:val="28"/>
          <w:szCs w:val="28"/>
        </w:rPr>
        <w:t xml:space="preserve"> </w:t>
      </w:r>
      <w:r>
        <w:rPr>
          <w:rFonts w:ascii="Times New Roman" w:eastAsia="Times New Roman" w:hAnsi="Times New Roman" w:cs="Times New Roman"/>
          <w:spacing w:val="-10"/>
          <w:sz w:val="28"/>
          <w:szCs w:val="28"/>
        </w:rPr>
        <w:t>FL</w:t>
      </w:r>
      <w:r w:rsidR="003D7D90">
        <w:rPr>
          <w:rFonts w:ascii="Times New Roman" w:eastAsia="Times New Roman" w:hAnsi="Times New Roman" w:cs="Times New Roman"/>
          <w:spacing w:val="-4"/>
          <w:sz w:val="28"/>
          <w:szCs w:val="28"/>
        </w:rPr>
        <w:t xml:space="preserve"> </w:t>
      </w:r>
      <w:r w:rsidR="003D7D90">
        <w:rPr>
          <w:rFonts w:ascii="Times New Roman" w:eastAsia="Times New Roman" w:hAnsi="Times New Roman" w:cs="Times New Roman"/>
          <w:sz w:val="28"/>
          <w:szCs w:val="28"/>
        </w:rPr>
        <w:t>—</w:t>
      </w:r>
      <w:r w:rsidR="003D7D90">
        <w:rPr>
          <w:rFonts w:ascii="Times New Roman" w:eastAsia="Times New Roman" w:hAnsi="Times New Roman" w:cs="Times New Roman"/>
          <w:spacing w:val="-3"/>
          <w:sz w:val="28"/>
          <w:szCs w:val="28"/>
        </w:rPr>
        <w:t xml:space="preserve"> </w:t>
      </w:r>
      <w:r w:rsidR="003D7D90">
        <w:rPr>
          <w:rFonts w:ascii="Times New Roman" w:eastAsia="Times New Roman" w:hAnsi="Times New Roman" w:cs="Times New Roman"/>
          <w:sz w:val="28"/>
          <w:szCs w:val="28"/>
        </w:rPr>
        <w:t>Monday,</w:t>
      </w:r>
      <w:r w:rsidR="003D7D90">
        <w:rPr>
          <w:rFonts w:ascii="Times New Roman" w:eastAsia="Times New Roman" w:hAnsi="Times New Roman" w:cs="Times New Roman"/>
          <w:spacing w:val="-10"/>
          <w:sz w:val="28"/>
          <w:szCs w:val="28"/>
        </w:rPr>
        <w:t xml:space="preserve"> </w:t>
      </w:r>
      <w:r w:rsidR="003D7D90">
        <w:rPr>
          <w:rFonts w:ascii="Times New Roman" w:eastAsia="Times New Roman" w:hAnsi="Times New Roman" w:cs="Times New Roman"/>
          <w:sz w:val="28"/>
          <w:szCs w:val="28"/>
        </w:rPr>
        <w:t>J</w:t>
      </w:r>
      <w:r>
        <w:rPr>
          <w:rFonts w:ascii="Times New Roman" w:eastAsia="Times New Roman" w:hAnsi="Times New Roman" w:cs="Times New Roman"/>
          <w:sz w:val="28"/>
          <w:szCs w:val="28"/>
        </w:rPr>
        <w:t>anuary</w:t>
      </w:r>
      <w:r w:rsidR="003D7D90">
        <w:rPr>
          <w:rFonts w:ascii="Times New Roman" w:eastAsia="Times New Roman" w:hAnsi="Times New Roman" w:cs="Times New Roman"/>
          <w:spacing w:val="-5"/>
          <w:sz w:val="28"/>
          <w:szCs w:val="28"/>
        </w:rPr>
        <w:t xml:space="preserve"> </w:t>
      </w:r>
      <w:r w:rsidR="005A0B25">
        <w:rPr>
          <w:rFonts w:ascii="Times New Roman" w:eastAsia="Times New Roman" w:hAnsi="Times New Roman" w:cs="Times New Roman"/>
          <w:spacing w:val="-5"/>
          <w:sz w:val="28"/>
          <w:szCs w:val="28"/>
        </w:rPr>
        <w:t>2</w:t>
      </w:r>
      <w:r>
        <w:rPr>
          <w:rFonts w:ascii="Times New Roman" w:eastAsia="Times New Roman" w:hAnsi="Times New Roman" w:cs="Times New Roman"/>
          <w:spacing w:val="-5"/>
          <w:sz w:val="28"/>
          <w:szCs w:val="28"/>
        </w:rPr>
        <w:t>5</w:t>
      </w:r>
      <w:r w:rsidR="003D7D90">
        <w:rPr>
          <w:rFonts w:ascii="Times New Roman" w:eastAsia="Times New Roman" w:hAnsi="Times New Roman" w:cs="Times New Roman"/>
          <w:sz w:val="28"/>
          <w:szCs w:val="28"/>
        </w:rPr>
        <w:t>,</w:t>
      </w:r>
      <w:r w:rsidR="003D7D90">
        <w:rPr>
          <w:rFonts w:ascii="Times New Roman" w:eastAsia="Times New Roman" w:hAnsi="Times New Roman" w:cs="Times New Roman"/>
          <w:spacing w:val="-3"/>
          <w:sz w:val="28"/>
          <w:szCs w:val="28"/>
        </w:rPr>
        <w:t xml:space="preserve"> </w:t>
      </w:r>
      <w:r w:rsidR="003D7D90">
        <w:rPr>
          <w:rFonts w:ascii="Times New Roman" w:eastAsia="Times New Roman" w:hAnsi="Times New Roman" w:cs="Times New Roman"/>
          <w:w w:val="99"/>
          <w:sz w:val="28"/>
          <w:szCs w:val="28"/>
        </w:rPr>
        <w:t>201</w:t>
      </w:r>
      <w:r>
        <w:rPr>
          <w:rFonts w:ascii="Times New Roman" w:eastAsia="Times New Roman" w:hAnsi="Times New Roman" w:cs="Times New Roman"/>
          <w:w w:val="99"/>
          <w:sz w:val="28"/>
          <w:szCs w:val="28"/>
        </w:rPr>
        <w:t>6</w:t>
      </w:r>
    </w:p>
    <w:p w:rsidR="00D732B9" w:rsidRDefault="003D7D90">
      <w:pPr>
        <w:spacing w:before="38" w:after="0" w:line="240" w:lineRule="auto"/>
        <w:ind w:left="3068" w:right="2949"/>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Dennis</w:t>
      </w:r>
      <w:r w:rsidR="00D0013D">
        <w:rPr>
          <w:rFonts w:ascii="Times New Roman" w:eastAsia="Times New Roman" w:hAnsi="Times New Roman" w:cs="Times New Roman"/>
          <w:sz w:val="28"/>
          <w:szCs w:val="28"/>
        </w:rPr>
        <w:t xml:space="preserve"> R.</w:t>
      </w:r>
      <w:r>
        <w:rPr>
          <w:rFonts w:ascii="Times New Roman" w:eastAsia="Times New Roman" w:hAnsi="Times New Roman" w:cs="Times New Roman"/>
          <w:spacing w:val="-8"/>
          <w:sz w:val="28"/>
          <w:szCs w:val="28"/>
        </w:rPr>
        <w:t xml:space="preserve"> </w:t>
      </w:r>
      <w:r>
        <w:rPr>
          <w:rFonts w:ascii="Times New Roman" w:eastAsia="Times New Roman" w:hAnsi="Times New Roman" w:cs="Times New Roman"/>
          <w:sz w:val="28"/>
          <w:szCs w:val="28"/>
        </w:rPr>
        <w:t>Landsberg,</w:t>
      </w:r>
      <w:r>
        <w:rPr>
          <w:rFonts w:ascii="Times New Roman" w:eastAsia="Times New Roman" w:hAnsi="Times New Roman" w:cs="Times New Roman"/>
          <w:spacing w:val="-13"/>
          <w:sz w:val="28"/>
          <w:szCs w:val="28"/>
        </w:rPr>
        <w:t xml:space="preserve"> </w:t>
      </w:r>
      <w:r>
        <w:rPr>
          <w:rFonts w:ascii="Times New Roman" w:eastAsia="Times New Roman" w:hAnsi="Times New Roman" w:cs="Times New Roman"/>
          <w:w w:val="99"/>
          <w:sz w:val="28"/>
          <w:szCs w:val="28"/>
        </w:rPr>
        <w:t>Chair</w:t>
      </w:r>
    </w:p>
    <w:p w:rsidR="00D732B9" w:rsidRDefault="00D732B9">
      <w:pPr>
        <w:spacing w:before="6" w:after="0" w:line="150" w:lineRule="exact"/>
        <w:rPr>
          <w:sz w:val="15"/>
          <w:szCs w:val="15"/>
        </w:rPr>
      </w:pPr>
    </w:p>
    <w:p w:rsidR="00D732B9" w:rsidRDefault="00D732B9">
      <w:pPr>
        <w:spacing w:after="0" w:line="200" w:lineRule="exact"/>
        <w:rPr>
          <w:sz w:val="20"/>
          <w:szCs w:val="20"/>
        </w:rPr>
      </w:pPr>
    </w:p>
    <w:p w:rsidR="00D732B9" w:rsidRPr="00ED0231" w:rsidRDefault="003D7D90" w:rsidP="00B23452">
      <w:pPr>
        <w:spacing w:after="0" w:line="240" w:lineRule="auto"/>
        <w:ind w:left="432" w:right="-20" w:hanging="432"/>
        <w:rPr>
          <w:rFonts w:ascii="Times New Roman" w:eastAsia="Times New Roman" w:hAnsi="Times New Roman" w:cs="Times New Roman"/>
        </w:rPr>
      </w:pPr>
      <w:r w:rsidRPr="00ED0231">
        <w:rPr>
          <w:rFonts w:ascii="Times New Roman" w:eastAsia="Times New Roman" w:hAnsi="Times New Roman" w:cs="Times New Roman"/>
        </w:rPr>
        <w:t>The</w:t>
      </w:r>
      <w:r w:rsidRPr="00ED0231">
        <w:rPr>
          <w:rFonts w:ascii="Times New Roman" w:eastAsia="Times New Roman" w:hAnsi="Times New Roman" w:cs="Times New Roman"/>
          <w:spacing w:val="-3"/>
        </w:rPr>
        <w:t xml:space="preserve"> </w:t>
      </w:r>
      <w:r w:rsidRPr="00ED0231">
        <w:rPr>
          <w:rFonts w:ascii="Times New Roman" w:eastAsia="Times New Roman" w:hAnsi="Times New Roman" w:cs="Times New Roman"/>
        </w:rPr>
        <w:t>meeting</w:t>
      </w:r>
      <w:r w:rsidRPr="00ED0231">
        <w:rPr>
          <w:rFonts w:ascii="Times New Roman" w:eastAsia="Times New Roman" w:hAnsi="Times New Roman" w:cs="Times New Roman"/>
          <w:spacing w:val="-7"/>
        </w:rPr>
        <w:t xml:space="preserve"> </w:t>
      </w:r>
      <w:r w:rsidRPr="00ED0231">
        <w:rPr>
          <w:rFonts w:ascii="Times New Roman" w:eastAsia="Times New Roman" w:hAnsi="Times New Roman" w:cs="Times New Roman"/>
        </w:rPr>
        <w:t>was</w:t>
      </w:r>
      <w:r w:rsidRPr="00ED0231">
        <w:rPr>
          <w:rFonts w:ascii="Times New Roman" w:eastAsia="Times New Roman" w:hAnsi="Times New Roman" w:cs="Times New Roman"/>
          <w:spacing w:val="-3"/>
        </w:rPr>
        <w:t xml:space="preserve"> </w:t>
      </w:r>
      <w:r w:rsidRPr="00ED0231">
        <w:rPr>
          <w:rFonts w:ascii="Times New Roman" w:eastAsia="Times New Roman" w:hAnsi="Times New Roman" w:cs="Times New Roman"/>
        </w:rPr>
        <w:t>at</w:t>
      </w:r>
      <w:r w:rsidRPr="00ED0231">
        <w:rPr>
          <w:rFonts w:ascii="Times New Roman" w:eastAsia="Times New Roman" w:hAnsi="Times New Roman" w:cs="Times New Roman"/>
          <w:spacing w:val="1"/>
        </w:rPr>
        <w:t>t</w:t>
      </w:r>
      <w:r w:rsidRPr="00ED0231">
        <w:rPr>
          <w:rFonts w:ascii="Times New Roman" w:eastAsia="Times New Roman" w:hAnsi="Times New Roman" w:cs="Times New Roman"/>
        </w:rPr>
        <w:t>ended</w:t>
      </w:r>
      <w:r w:rsidRPr="00ED0231">
        <w:rPr>
          <w:rFonts w:ascii="Times New Roman" w:eastAsia="Times New Roman" w:hAnsi="Times New Roman" w:cs="Times New Roman"/>
          <w:spacing w:val="-7"/>
        </w:rPr>
        <w:t xml:space="preserve"> </w:t>
      </w:r>
      <w:r w:rsidRPr="00ED0231">
        <w:rPr>
          <w:rFonts w:ascii="Times New Roman" w:eastAsia="Times New Roman" w:hAnsi="Times New Roman" w:cs="Times New Roman"/>
        </w:rPr>
        <w:t xml:space="preserve">by </w:t>
      </w:r>
      <w:r w:rsidR="00ED0231" w:rsidRPr="00ED0231">
        <w:rPr>
          <w:rFonts w:ascii="Times New Roman" w:eastAsia="Times New Roman" w:hAnsi="Times New Roman" w:cs="Times New Roman"/>
          <w:b/>
        </w:rPr>
        <w:t>4</w:t>
      </w:r>
      <w:r w:rsidRPr="00ED0231">
        <w:rPr>
          <w:rFonts w:ascii="Times New Roman" w:eastAsia="Times New Roman" w:hAnsi="Times New Roman" w:cs="Times New Roman"/>
          <w:b/>
          <w:bCs/>
          <w:spacing w:val="-1"/>
        </w:rPr>
        <w:t xml:space="preserve"> </w:t>
      </w:r>
      <w:r w:rsidRPr="00ED0231">
        <w:rPr>
          <w:rFonts w:ascii="Times New Roman" w:eastAsia="Times New Roman" w:hAnsi="Times New Roman" w:cs="Times New Roman"/>
          <w:spacing w:val="-2"/>
        </w:rPr>
        <w:t>m</w:t>
      </w:r>
      <w:r w:rsidRPr="00ED0231">
        <w:rPr>
          <w:rFonts w:ascii="Times New Roman" w:eastAsia="Times New Roman" w:hAnsi="Times New Roman" w:cs="Times New Roman"/>
          <w:spacing w:val="1"/>
        </w:rPr>
        <w:t>e</w:t>
      </w:r>
      <w:r w:rsidRPr="00ED0231">
        <w:rPr>
          <w:rFonts w:ascii="Times New Roman" w:eastAsia="Times New Roman" w:hAnsi="Times New Roman" w:cs="Times New Roman"/>
        </w:rPr>
        <w:t>mb</w:t>
      </w:r>
      <w:r w:rsidRPr="00ED0231">
        <w:rPr>
          <w:rFonts w:ascii="Times New Roman" w:eastAsia="Times New Roman" w:hAnsi="Times New Roman" w:cs="Times New Roman"/>
          <w:spacing w:val="1"/>
        </w:rPr>
        <w:t>e</w:t>
      </w:r>
      <w:r w:rsidRPr="00ED0231">
        <w:rPr>
          <w:rFonts w:ascii="Times New Roman" w:eastAsia="Times New Roman" w:hAnsi="Times New Roman" w:cs="Times New Roman"/>
        </w:rPr>
        <w:t>rs</w:t>
      </w:r>
      <w:r w:rsidRPr="00ED0231">
        <w:rPr>
          <w:rFonts w:ascii="Times New Roman" w:eastAsia="Times New Roman" w:hAnsi="Times New Roman" w:cs="Times New Roman"/>
          <w:spacing w:val="-8"/>
        </w:rPr>
        <w:t xml:space="preserve"> </w:t>
      </w:r>
      <w:r w:rsidRPr="00ED0231">
        <w:rPr>
          <w:rFonts w:ascii="Times New Roman" w:eastAsia="Times New Roman" w:hAnsi="Times New Roman" w:cs="Times New Roman"/>
        </w:rPr>
        <w:t>of</w:t>
      </w:r>
      <w:r w:rsidRPr="00ED0231">
        <w:rPr>
          <w:rFonts w:ascii="Times New Roman" w:eastAsia="Times New Roman" w:hAnsi="Times New Roman" w:cs="Times New Roman"/>
          <w:spacing w:val="-2"/>
        </w:rPr>
        <w:t xml:space="preserve"> </w:t>
      </w:r>
      <w:r w:rsidRPr="00ED0231">
        <w:rPr>
          <w:rFonts w:ascii="Times New Roman" w:eastAsia="Times New Roman" w:hAnsi="Times New Roman" w:cs="Times New Roman"/>
        </w:rPr>
        <w:t>the</w:t>
      </w:r>
      <w:r w:rsidRPr="00ED0231">
        <w:rPr>
          <w:rFonts w:ascii="Times New Roman" w:eastAsia="Times New Roman" w:hAnsi="Times New Roman" w:cs="Times New Roman"/>
          <w:spacing w:val="-3"/>
        </w:rPr>
        <w:t xml:space="preserve"> </w:t>
      </w:r>
      <w:r w:rsidRPr="00ED0231">
        <w:rPr>
          <w:rFonts w:ascii="Times New Roman" w:eastAsia="Times New Roman" w:hAnsi="Times New Roman" w:cs="Times New Roman"/>
        </w:rPr>
        <w:t>TC</w:t>
      </w:r>
      <w:r w:rsidR="00B23452" w:rsidRPr="00ED0231">
        <w:rPr>
          <w:rFonts w:ascii="Times New Roman" w:eastAsia="Times New Roman" w:hAnsi="Times New Roman" w:cs="Times New Roman"/>
        </w:rPr>
        <w:t xml:space="preserve">, </w:t>
      </w:r>
      <w:r w:rsidR="00ED0231" w:rsidRPr="00ED0231">
        <w:rPr>
          <w:rFonts w:ascii="Times New Roman" w:eastAsia="Times New Roman" w:hAnsi="Times New Roman" w:cs="Times New Roman"/>
          <w:b/>
        </w:rPr>
        <w:t>11</w:t>
      </w:r>
      <w:r w:rsidR="00B23452" w:rsidRPr="00ED0231">
        <w:rPr>
          <w:rFonts w:ascii="Times New Roman" w:eastAsia="Times New Roman" w:hAnsi="Times New Roman" w:cs="Times New Roman"/>
        </w:rPr>
        <w:t xml:space="preserve"> corresponding members and </w:t>
      </w:r>
      <w:r w:rsidR="00ED0231" w:rsidRPr="00ED0231">
        <w:rPr>
          <w:rFonts w:ascii="Times New Roman" w:eastAsia="Times New Roman" w:hAnsi="Times New Roman" w:cs="Times New Roman"/>
          <w:b/>
        </w:rPr>
        <w:t>22</w:t>
      </w:r>
      <w:r w:rsidR="00B23452" w:rsidRPr="00ED0231">
        <w:rPr>
          <w:rFonts w:ascii="Times New Roman" w:eastAsia="Times New Roman" w:hAnsi="Times New Roman" w:cs="Times New Roman"/>
        </w:rPr>
        <w:t xml:space="preserve"> guests.</w:t>
      </w:r>
    </w:p>
    <w:p w:rsidR="00D732B9" w:rsidRPr="00ED0231" w:rsidRDefault="00D732B9" w:rsidP="00B23452">
      <w:pPr>
        <w:spacing w:before="5" w:after="0" w:line="240" w:lineRule="exact"/>
        <w:ind w:hanging="432"/>
        <w:rPr>
          <w:rFonts w:ascii="Times New Roman" w:hAnsi="Times New Roman" w:cs="Times New Roman"/>
          <w:sz w:val="24"/>
          <w:szCs w:val="24"/>
        </w:rPr>
      </w:pPr>
    </w:p>
    <w:p w:rsidR="008E245A" w:rsidRPr="00ED0231" w:rsidRDefault="008E245A" w:rsidP="008E245A">
      <w:pPr>
        <w:widowControl/>
        <w:numPr>
          <w:ilvl w:val="0"/>
          <w:numId w:val="1"/>
        </w:numPr>
        <w:tabs>
          <w:tab w:val="clear" w:pos="2721"/>
          <w:tab w:val="num" w:pos="1080"/>
        </w:tabs>
        <w:spacing w:afterLines="20" w:after="48" w:line="240" w:lineRule="auto"/>
        <w:ind w:left="360" w:hanging="360"/>
        <w:rPr>
          <w:rFonts w:ascii="Times New Roman" w:eastAsia="Times New Roman" w:hAnsi="Times New Roman" w:cs="Times New Roman"/>
          <w:b/>
          <w:sz w:val="20"/>
          <w:szCs w:val="20"/>
        </w:rPr>
      </w:pPr>
      <w:r w:rsidRPr="00ED0231">
        <w:rPr>
          <w:rFonts w:ascii="Times New Roman" w:eastAsia="Times New Roman" w:hAnsi="Times New Roman" w:cs="Times New Roman"/>
          <w:b/>
          <w:sz w:val="20"/>
          <w:szCs w:val="20"/>
        </w:rPr>
        <w:t>Introductions and Introductory Comments</w:t>
      </w:r>
    </w:p>
    <w:p w:rsidR="005A0B25" w:rsidRPr="00ED0231" w:rsidRDefault="005A0B25" w:rsidP="005A0B25">
      <w:pPr>
        <w:widowControl/>
        <w:numPr>
          <w:ilvl w:val="0"/>
          <w:numId w:val="1"/>
        </w:numPr>
        <w:tabs>
          <w:tab w:val="clear" w:pos="2721"/>
          <w:tab w:val="num" w:pos="360"/>
        </w:tabs>
        <w:spacing w:afterLines="20" w:after="48" w:line="240" w:lineRule="auto"/>
        <w:ind w:left="360" w:hanging="360"/>
        <w:rPr>
          <w:rFonts w:ascii="Times New Roman" w:hAnsi="Times New Roman" w:cs="Times New Roman"/>
          <w:b/>
          <w:sz w:val="20"/>
          <w:szCs w:val="20"/>
        </w:rPr>
      </w:pPr>
      <w:r w:rsidRPr="00ED0231">
        <w:rPr>
          <w:rFonts w:ascii="Times New Roman" w:hAnsi="Times New Roman" w:cs="Times New Roman"/>
          <w:b/>
          <w:sz w:val="20"/>
          <w:szCs w:val="20"/>
        </w:rPr>
        <w:t>Update On Standards and Guidelines Related to Energy Performance</w:t>
      </w:r>
    </w:p>
    <w:p w:rsidR="005A0B25" w:rsidRPr="00ED0231" w:rsidRDefault="005A0B25" w:rsidP="005A0B25">
      <w:pPr>
        <w:widowControl/>
        <w:numPr>
          <w:ilvl w:val="1"/>
          <w:numId w:val="1"/>
        </w:numPr>
        <w:tabs>
          <w:tab w:val="clear" w:pos="3081"/>
          <w:tab w:val="num" w:pos="1440"/>
        </w:tabs>
        <w:spacing w:afterLines="20" w:after="48" w:line="240" w:lineRule="auto"/>
        <w:ind w:left="1440"/>
        <w:rPr>
          <w:rFonts w:ascii="Times New Roman" w:hAnsi="Times New Roman" w:cs="Times New Roman"/>
          <w:sz w:val="20"/>
          <w:szCs w:val="20"/>
        </w:rPr>
      </w:pPr>
      <w:r w:rsidRPr="00ED0231">
        <w:rPr>
          <w:rFonts w:ascii="Times New Roman" w:hAnsi="Times New Roman" w:cs="Times New Roman"/>
          <w:sz w:val="20"/>
          <w:szCs w:val="20"/>
        </w:rPr>
        <w:t>ASHRAE Standard 100 –in continuous maintenance.</w:t>
      </w:r>
    </w:p>
    <w:p w:rsidR="005A0B25" w:rsidRPr="00ED0231" w:rsidRDefault="005A0B25" w:rsidP="005A0B25">
      <w:pPr>
        <w:widowControl/>
        <w:numPr>
          <w:ilvl w:val="2"/>
          <w:numId w:val="1"/>
        </w:numPr>
        <w:tabs>
          <w:tab w:val="clear" w:pos="3801"/>
          <w:tab w:val="num" w:pos="2160"/>
        </w:tabs>
        <w:spacing w:afterLines="20" w:after="48" w:line="240" w:lineRule="auto"/>
        <w:ind w:left="2160"/>
        <w:rPr>
          <w:rFonts w:ascii="Times New Roman" w:hAnsi="Times New Roman" w:cs="Times New Roman"/>
          <w:sz w:val="20"/>
          <w:szCs w:val="20"/>
        </w:rPr>
      </w:pPr>
      <w:r w:rsidRPr="00ED0231">
        <w:rPr>
          <w:rFonts w:ascii="Times New Roman" w:hAnsi="Times New Roman" w:cs="Times New Roman"/>
          <w:sz w:val="20"/>
          <w:szCs w:val="20"/>
        </w:rPr>
        <w:t>Major modifications proposed deal with CHP and district heating and cooling</w:t>
      </w:r>
    </w:p>
    <w:p w:rsidR="005A0B25" w:rsidRPr="00ED0231" w:rsidRDefault="005A0B25" w:rsidP="005A0B25">
      <w:pPr>
        <w:widowControl/>
        <w:numPr>
          <w:ilvl w:val="1"/>
          <w:numId w:val="1"/>
        </w:numPr>
        <w:tabs>
          <w:tab w:val="clear" w:pos="3081"/>
          <w:tab w:val="num" w:pos="1440"/>
        </w:tabs>
        <w:spacing w:afterLines="20" w:after="48" w:line="240" w:lineRule="auto"/>
        <w:ind w:left="1440"/>
        <w:rPr>
          <w:rFonts w:ascii="Times New Roman" w:hAnsi="Times New Roman" w:cs="Times New Roman"/>
          <w:sz w:val="20"/>
          <w:szCs w:val="20"/>
        </w:rPr>
      </w:pPr>
      <w:r w:rsidRPr="00ED0231">
        <w:rPr>
          <w:rFonts w:ascii="Times New Roman" w:hAnsi="Times New Roman" w:cs="Times New Roman"/>
          <w:sz w:val="20"/>
          <w:szCs w:val="20"/>
        </w:rPr>
        <w:t xml:space="preserve">Standard 211 Commercial Building Energy </w:t>
      </w:r>
      <w:proofErr w:type="gramStart"/>
      <w:r w:rsidRPr="00ED0231">
        <w:rPr>
          <w:rFonts w:ascii="Times New Roman" w:hAnsi="Times New Roman" w:cs="Times New Roman"/>
          <w:sz w:val="20"/>
          <w:szCs w:val="20"/>
        </w:rPr>
        <w:t>Audits  -</w:t>
      </w:r>
      <w:proofErr w:type="gramEnd"/>
      <w:r w:rsidRPr="00ED0231">
        <w:rPr>
          <w:rFonts w:ascii="Times New Roman" w:hAnsi="Times New Roman" w:cs="Times New Roman"/>
          <w:sz w:val="20"/>
          <w:szCs w:val="20"/>
        </w:rPr>
        <w:t xml:space="preserve"> Advisory draft </w:t>
      </w:r>
      <w:r w:rsidR="00ED0231" w:rsidRPr="00ED0231">
        <w:rPr>
          <w:rFonts w:ascii="Times New Roman" w:hAnsi="Times New Roman" w:cs="Times New Roman"/>
          <w:sz w:val="20"/>
          <w:szCs w:val="20"/>
        </w:rPr>
        <w:t>comments received.</w:t>
      </w:r>
    </w:p>
    <w:p w:rsidR="005A0B25" w:rsidRPr="00ED0231" w:rsidRDefault="005A0B25" w:rsidP="005A0B25">
      <w:pPr>
        <w:widowControl/>
        <w:numPr>
          <w:ilvl w:val="1"/>
          <w:numId w:val="1"/>
        </w:numPr>
        <w:tabs>
          <w:tab w:val="clear" w:pos="3081"/>
          <w:tab w:val="num" w:pos="1440"/>
        </w:tabs>
        <w:spacing w:afterLines="20" w:after="48" w:line="240" w:lineRule="auto"/>
        <w:ind w:left="1440"/>
        <w:rPr>
          <w:rFonts w:ascii="Times New Roman" w:hAnsi="Times New Roman" w:cs="Times New Roman"/>
          <w:sz w:val="20"/>
          <w:szCs w:val="20"/>
        </w:rPr>
      </w:pPr>
      <w:r w:rsidRPr="00ED0231">
        <w:rPr>
          <w:rFonts w:ascii="Times New Roman" w:hAnsi="Times New Roman" w:cs="Times New Roman"/>
          <w:sz w:val="20"/>
          <w:szCs w:val="20"/>
        </w:rPr>
        <w:t>Standard 90.4P Energy Standard for Data Centers and Telecommunications Buildings.</w:t>
      </w:r>
    </w:p>
    <w:p w:rsidR="005A0B25" w:rsidRPr="00ED0231" w:rsidRDefault="005A0B25" w:rsidP="005A0B25">
      <w:pPr>
        <w:widowControl/>
        <w:numPr>
          <w:ilvl w:val="1"/>
          <w:numId w:val="1"/>
        </w:numPr>
        <w:tabs>
          <w:tab w:val="clear" w:pos="3081"/>
          <w:tab w:val="num" w:pos="1440"/>
        </w:tabs>
        <w:spacing w:afterLines="20" w:after="48" w:line="240" w:lineRule="auto"/>
        <w:ind w:left="1440"/>
        <w:rPr>
          <w:rFonts w:ascii="Times New Roman" w:hAnsi="Times New Roman" w:cs="Times New Roman"/>
          <w:sz w:val="20"/>
          <w:szCs w:val="20"/>
        </w:rPr>
      </w:pPr>
      <w:r w:rsidRPr="00ED0231">
        <w:rPr>
          <w:rFonts w:ascii="Times New Roman" w:hAnsi="Times New Roman" w:cs="Times New Roman"/>
          <w:sz w:val="20"/>
          <w:szCs w:val="20"/>
        </w:rPr>
        <w:t>Standard 214P – Methods for Measuring and Expressing Building Energy Performance in a Rating Program</w:t>
      </w:r>
    </w:p>
    <w:p w:rsidR="001479C1" w:rsidRPr="00ED0231" w:rsidRDefault="00ED0231" w:rsidP="005A0B25">
      <w:pPr>
        <w:widowControl/>
        <w:numPr>
          <w:ilvl w:val="1"/>
          <w:numId w:val="1"/>
        </w:numPr>
        <w:tabs>
          <w:tab w:val="clear" w:pos="3081"/>
          <w:tab w:val="num" w:pos="1440"/>
        </w:tabs>
        <w:spacing w:afterLines="20" w:after="48" w:line="240" w:lineRule="auto"/>
        <w:ind w:left="1440"/>
        <w:rPr>
          <w:rFonts w:ascii="Times New Roman" w:hAnsi="Times New Roman" w:cs="Times New Roman"/>
          <w:sz w:val="20"/>
          <w:szCs w:val="20"/>
        </w:rPr>
      </w:pPr>
      <w:r w:rsidRPr="00ED0231">
        <w:rPr>
          <w:rFonts w:ascii="Times New Roman" w:hAnsi="Times New Roman" w:cs="Times New Roman"/>
          <w:sz w:val="20"/>
          <w:szCs w:val="20"/>
        </w:rPr>
        <w:t>ASHRAE Design Guide for Tall, Super Tall and Mega Tall Building Systems</w:t>
      </w:r>
    </w:p>
    <w:p w:rsidR="001479C1" w:rsidRPr="00ED0231" w:rsidRDefault="001479C1" w:rsidP="005A0B25">
      <w:pPr>
        <w:widowControl/>
        <w:numPr>
          <w:ilvl w:val="1"/>
          <w:numId w:val="1"/>
        </w:numPr>
        <w:tabs>
          <w:tab w:val="clear" w:pos="3081"/>
          <w:tab w:val="num" w:pos="1440"/>
        </w:tabs>
        <w:spacing w:afterLines="20" w:after="48" w:line="240" w:lineRule="auto"/>
        <w:ind w:left="1440"/>
        <w:rPr>
          <w:rFonts w:ascii="Times New Roman" w:hAnsi="Times New Roman" w:cs="Times New Roman"/>
          <w:sz w:val="20"/>
          <w:szCs w:val="20"/>
        </w:rPr>
      </w:pPr>
      <w:r w:rsidRPr="00ED0231">
        <w:rPr>
          <w:rFonts w:ascii="Times New Roman" w:hAnsi="Times New Roman" w:cs="Times New Roman"/>
          <w:sz w:val="20"/>
          <w:szCs w:val="20"/>
        </w:rPr>
        <w:t>GPC 34 Energy Efficiency in Historic Buildings out for Public Review</w:t>
      </w:r>
    </w:p>
    <w:p w:rsidR="00ED0231" w:rsidRPr="00ED0231" w:rsidRDefault="00ED0231" w:rsidP="005A0B25">
      <w:pPr>
        <w:widowControl/>
        <w:numPr>
          <w:ilvl w:val="1"/>
          <w:numId w:val="1"/>
        </w:numPr>
        <w:tabs>
          <w:tab w:val="clear" w:pos="3081"/>
          <w:tab w:val="num" w:pos="1440"/>
        </w:tabs>
        <w:spacing w:afterLines="20" w:after="48" w:line="240" w:lineRule="auto"/>
        <w:ind w:left="1440"/>
        <w:rPr>
          <w:rFonts w:ascii="Times New Roman" w:hAnsi="Times New Roman" w:cs="Times New Roman"/>
          <w:sz w:val="20"/>
          <w:szCs w:val="20"/>
        </w:rPr>
      </w:pPr>
      <w:r w:rsidRPr="00ED0231">
        <w:rPr>
          <w:rFonts w:ascii="Times New Roman" w:hAnsi="Times New Roman" w:cs="Times New Roman"/>
          <w:sz w:val="20"/>
          <w:szCs w:val="20"/>
        </w:rPr>
        <w:t>SSPC 202 – Building Commissioning</w:t>
      </w:r>
    </w:p>
    <w:p w:rsidR="005A0B25" w:rsidRPr="00ED0231" w:rsidRDefault="005A0B25" w:rsidP="005A0B25">
      <w:pPr>
        <w:pStyle w:val="ListParagraph"/>
        <w:spacing w:after="0" w:line="240" w:lineRule="auto"/>
        <w:rPr>
          <w:rFonts w:ascii="Times New Roman" w:hAnsi="Times New Roman" w:cs="Times New Roman"/>
          <w:color w:val="1F497D"/>
        </w:rPr>
      </w:pPr>
    </w:p>
    <w:p w:rsidR="005A0B25" w:rsidRPr="00ED0231" w:rsidRDefault="005A0B25" w:rsidP="005A0B25">
      <w:pPr>
        <w:widowControl/>
        <w:numPr>
          <w:ilvl w:val="0"/>
          <w:numId w:val="1"/>
        </w:numPr>
        <w:tabs>
          <w:tab w:val="clear" w:pos="2721"/>
          <w:tab w:val="num" w:pos="360"/>
        </w:tabs>
        <w:spacing w:afterLines="20" w:after="48" w:line="240" w:lineRule="auto"/>
        <w:ind w:left="360" w:hanging="360"/>
        <w:rPr>
          <w:rFonts w:ascii="Times New Roman" w:hAnsi="Times New Roman" w:cs="Times New Roman"/>
          <w:b/>
          <w:sz w:val="20"/>
          <w:szCs w:val="20"/>
        </w:rPr>
      </w:pPr>
      <w:r w:rsidRPr="00ED0231">
        <w:rPr>
          <w:rFonts w:ascii="Times New Roman" w:hAnsi="Times New Roman" w:cs="Times New Roman"/>
          <w:b/>
          <w:sz w:val="20"/>
          <w:szCs w:val="20"/>
        </w:rPr>
        <w:t>Building Rating Disclosure and Benchmarking</w:t>
      </w:r>
    </w:p>
    <w:p w:rsidR="005A0B25" w:rsidRPr="00ED0231" w:rsidRDefault="005A0B25" w:rsidP="005A0B25">
      <w:pPr>
        <w:widowControl/>
        <w:numPr>
          <w:ilvl w:val="1"/>
          <w:numId w:val="1"/>
        </w:numPr>
        <w:tabs>
          <w:tab w:val="clear" w:pos="3081"/>
          <w:tab w:val="num" w:pos="1440"/>
        </w:tabs>
        <w:spacing w:afterLines="20" w:after="48" w:line="240" w:lineRule="auto"/>
        <w:ind w:left="1440"/>
        <w:rPr>
          <w:rFonts w:ascii="Times New Roman" w:hAnsi="Times New Roman" w:cs="Times New Roman"/>
          <w:sz w:val="20"/>
          <w:szCs w:val="20"/>
        </w:rPr>
      </w:pPr>
      <w:r w:rsidRPr="00ED0231">
        <w:rPr>
          <w:rFonts w:ascii="Times New Roman" w:hAnsi="Times New Roman" w:cs="Times New Roman"/>
          <w:sz w:val="20"/>
          <w:szCs w:val="20"/>
        </w:rPr>
        <w:t xml:space="preserve">Should there be standard reporting linkages from local up to state-level up to country-level, up to world region </w:t>
      </w:r>
      <w:proofErr w:type="gramStart"/>
      <w:r w:rsidRPr="00ED0231">
        <w:rPr>
          <w:rFonts w:ascii="Times New Roman" w:hAnsi="Times New Roman" w:cs="Times New Roman"/>
          <w:sz w:val="20"/>
          <w:szCs w:val="20"/>
        </w:rPr>
        <w:t>level,</w:t>
      </w:r>
      <w:proofErr w:type="gramEnd"/>
      <w:r w:rsidRPr="00ED0231">
        <w:rPr>
          <w:rFonts w:ascii="Times New Roman" w:hAnsi="Times New Roman" w:cs="Times New Roman"/>
          <w:sz w:val="20"/>
          <w:szCs w:val="20"/>
        </w:rPr>
        <w:t xml:space="preserve"> and finally to world level? How should worldwide buildings energy performance be reported? Is this something ASHRAE should get involved in?</w:t>
      </w:r>
    </w:p>
    <w:p w:rsidR="00140C62" w:rsidRPr="00140C62" w:rsidRDefault="005A0B25" w:rsidP="00140C62">
      <w:pPr>
        <w:pStyle w:val="NormalWeb"/>
        <w:numPr>
          <w:ilvl w:val="1"/>
          <w:numId w:val="1"/>
        </w:numPr>
        <w:tabs>
          <w:tab w:val="clear" w:pos="3081"/>
        </w:tabs>
        <w:ind w:left="1440"/>
        <w:jc w:val="both"/>
        <w:rPr>
          <w:color w:val="000000"/>
          <w:sz w:val="20"/>
          <w:szCs w:val="20"/>
          <w:lang w:val="en"/>
        </w:rPr>
      </w:pPr>
      <w:proofErr w:type="spellStart"/>
      <w:proofErr w:type="gramStart"/>
      <w:r w:rsidRPr="00ED0231">
        <w:rPr>
          <w:sz w:val="20"/>
          <w:szCs w:val="20"/>
        </w:rPr>
        <w:t>bEQ</w:t>
      </w:r>
      <w:proofErr w:type="spellEnd"/>
      <w:proofErr w:type="gramEnd"/>
      <w:r w:rsidRPr="00ED0231">
        <w:rPr>
          <w:sz w:val="20"/>
          <w:szCs w:val="20"/>
        </w:rPr>
        <w:t xml:space="preserve"> </w:t>
      </w:r>
      <w:r w:rsidR="001479C1" w:rsidRPr="00ED0231">
        <w:rPr>
          <w:sz w:val="20"/>
          <w:szCs w:val="20"/>
        </w:rPr>
        <w:t xml:space="preserve">– </w:t>
      </w:r>
      <w:r w:rsidR="00ED0231" w:rsidRPr="00ED0231">
        <w:rPr>
          <w:sz w:val="20"/>
          <w:szCs w:val="20"/>
        </w:rPr>
        <w:t>41</w:t>
      </w:r>
      <w:r w:rsidR="001479C1" w:rsidRPr="00ED0231">
        <w:rPr>
          <w:sz w:val="20"/>
          <w:szCs w:val="20"/>
        </w:rPr>
        <w:t xml:space="preserve"> buildings to date – </w:t>
      </w:r>
      <w:r w:rsidR="00ED0231" w:rsidRPr="00ED0231">
        <w:rPr>
          <w:sz w:val="20"/>
          <w:szCs w:val="20"/>
        </w:rPr>
        <w:t>focus on marketing. Baseline went from Portfolio Manager to Standard 100 building EUIs 6months ago.  With 2012 CBECS will switch back to Portfolio Manager except for buildings that are not Portfolio Manager Building type.</w:t>
      </w:r>
      <w:r w:rsidR="00ED0231" w:rsidRPr="00ED0231">
        <w:rPr>
          <w:b/>
          <w:color w:val="000000"/>
          <w:sz w:val="20"/>
          <w:szCs w:val="20"/>
          <w:lang w:val="en"/>
        </w:rPr>
        <w:t xml:space="preserve"> </w:t>
      </w:r>
    </w:p>
    <w:p w:rsidR="00ED0231" w:rsidRPr="00ED0231" w:rsidRDefault="00ED0231" w:rsidP="00ED0231">
      <w:pPr>
        <w:pStyle w:val="NormalWeb"/>
        <w:numPr>
          <w:ilvl w:val="0"/>
          <w:numId w:val="1"/>
        </w:numPr>
        <w:tabs>
          <w:tab w:val="clear" w:pos="2721"/>
        </w:tabs>
        <w:ind w:left="360" w:hanging="360"/>
        <w:jc w:val="both"/>
        <w:rPr>
          <w:color w:val="000000"/>
          <w:sz w:val="20"/>
          <w:szCs w:val="20"/>
          <w:lang w:val="en"/>
        </w:rPr>
      </w:pPr>
      <w:r w:rsidRPr="00ED0231">
        <w:rPr>
          <w:b/>
          <w:color w:val="000000"/>
          <w:sz w:val="20"/>
          <w:szCs w:val="20"/>
          <w:lang w:val="en"/>
        </w:rPr>
        <w:t>US Initiatives</w:t>
      </w:r>
    </w:p>
    <w:p w:rsidR="00ED0231" w:rsidRPr="00ED0231" w:rsidRDefault="00ED0231" w:rsidP="00ED0231">
      <w:pPr>
        <w:pStyle w:val="NormalWeb"/>
        <w:numPr>
          <w:ilvl w:val="1"/>
          <w:numId w:val="1"/>
        </w:numPr>
        <w:tabs>
          <w:tab w:val="clear" w:pos="3081"/>
          <w:tab w:val="num" w:pos="1440"/>
        </w:tabs>
        <w:ind w:left="1440"/>
        <w:jc w:val="both"/>
        <w:rPr>
          <w:color w:val="000000"/>
          <w:sz w:val="20"/>
          <w:szCs w:val="20"/>
          <w:lang w:val="en"/>
        </w:rPr>
      </w:pPr>
      <w:r w:rsidRPr="00ED0231">
        <w:rPr>
          <w:color w:val="000000"/>
          <w:sz w:val="20"/>
          <w:szCs w:val="20"/>
          <w:lang w:val="en"/>
        </w:rPr>
        <w:t>EIA  - New report on using energy assessors for CBECS survey results is out:</w:t>
      </w:r>
    </w:p>
    <w:p w:rsidR="00ED0231" w:rsidRPr="00ED0231" w:rsidRDefault="00ED0231" w:rsidP="00ED0231">
      <w:pPr>
        <w:pStyle w:val="NormalWeb"/>
        <w:numPr>
          <w:ilvl w:val="2"/>
          <w:numId w:val="1"/>
        </w:numPr>
        <w:tabs>
          <w:tab w:val="clear" w:pos="3801"/>
          <w:tab w:val="num" w:pos="2160"/>
        </w:tabs>
        <w:ind w:left="2160"/>
        <w:jc w:val="both"/>
        <w:rPr>
          <w:color w:val="000000"/>
          <w:sz w:val="20"/>
          <w:szCs w:val="20"/>
          <w:lang w:val="en"/>
        </w:rPr>
      </w:pPr>
      <w:hyperlink r:id="rId6" w:history="1">
        <w:r w:rsidRPr="00ED0231">
          <w:rPr>
            <w:rStyle w:val="Hyperlink"/>
            <w:sz w:val="20"/>
            <w:szCs w:val="20"/>
            <w:lang w:val="en"/>
          </w:rPr>
          <w:t>http://www.eia.gov/consumption/commercial/reports/2012/assessorexp/pdf/assessorrpt.pdf</w:t>
        </w:r>
      </w:hyperlink>
      <w:r w:rsidRPr="00ED0231">
        <w:rPr>
          <w:color w:val="000000"/>
          <w:sz w:val="20"/>
          <w:szCs w:val="20"/>
          <w:lang w:val="en"/>
        </w:rPr>
        <w:t xml:space="preserve">  </w:t>
      </w:r>
    </w:p>
    <w:p w:rsidR="00ED0231" w:rsidRPr="00ED0231" w:rsidRDefault="00ED0231" w:rsidP="00ED0231">
      <w:pPr>
        <w:pStyle w:val="NormalWeb"/>
        <w:numPr>
          <w:ilvl w:val="2"/>
          <w:numId w:val="1"/>
        </w:numPr>
        <w:tabs>
          <w:tab w:val="clear" w:pos="3801"/>
          <w:tab w:val="num" w:pos="2160"/>
        </w:tabs>
        <w:ind w:left="2160"/>
        <w:jc w:val="both"/>
        <w:rPr>
          <w:color w:val="000000"/>
          <w:sz w:val="20"/>
          <w:szCs w:val="20"/>
          <w:lang w:val="en"/>
        </w:rPr>
      </w:pPr>
      <w:r w:rsidRPr="00ED0231">
        <w:rPr>
          <w:color w:val="000000"/>
          <w:sz w:val="20"/>
          <w:szCs w:val="20"/>
          <w:lang w:val="en"/>
        </w:rPr>
        <w:t>Results are that energy assessors make errors or cause errors too, but, the nature of known error sources is now quantified and will make discussion of statistical distributions easier.</w:t>
      </w:r>
    </w:p>
    <w:p w:rsidR="00ED0231" w:rsidRDefault="00ED0231" w:rsidP="00ED0231">
      <w:pPr>
        <w:pStyle w:val="NormalWeb"/>
        <w:numPr>
          <w:ilvl w:val="2"/>
          <w:numId w:val="1"/>
        </w:numPr>
        <w:tabs>
          <w:tab w:val="clear" w:pos="3801"/>
          <w:tab w:val="num" w:pos="2160"/>
        </w:tabs>
        <w:ind w:left="2160"/>
        <w:jc w:val="both"/>
        <w:rPr>
          <w:color w:val="000000"/>
          <w:sz w:val="20"/>
          <w:szCs w:val="20"/>
          <w:lang w:val="en"/>
        </w:rPr>
      </w:pPr>
      <w:r w:rsidRPr="00ED0231">
        <w:rPr>
          <w:color w:val="000000"/>
          <w:sz w:val="20"/>
          <w:szCs w:val="20"/>
          <w:lang w:val="en"/>
        </w:rPr>
        <w:t xml:space="preserve">Preliminary CBECS 2012 consumption and expenditure info due out </w:t>
      </w:r>
      <w:r w:rsidR="00140C62">
        <w:rPr>
          <w:color w:val="000000"/>
          <w:sz w:val="20"/>
          <w:szCs w:val="20"/>
          <w:lang w:val="en"/>
        </w:rPr>
        <w:t>end of February for end-use.</w:t>
      </w:r>
    </w:p>
    <w:p w:rsidR="00140C62" w:rsidRPr="00ED0231" w:rsidRDefault="00140C62" w:rsidP="00ED0231">
      <w:pPr>
        <w:pStyle w:val="NormalWeb"/>
        <w:numPr>
          <w:ilvl w:val="2"/>
          <w:numId w:val="1"/>
        </w:numPr>
        <w:tabs>
          <w:tab w:val="clear" w:pos="3801"/>
          <w:tab w:val="num" w:pos="2160"/>
        </w:tabs>
        <w:ind w:left="2160"/>
        <w:jc w:val="both"/>
        <w:rPr>
          <w:color w:val="000000"/>
          <w:sz w:val="20"/>
          <w:szCs w:val="20"/>
          <w:lang w:val="en"/>
        </w:rPr>
      </w:pPr>
      <w:r>
        <w:rPr>
          <w:color w:val="000000"/>
          <w:sz w:val="20"/>
          <w:szCs w:val="20"/>
          <w:lang w:val="en"/>
        </w:rPr>
        <w:t>CBECS outreach planned for CBECS 2017.</w:t>
      </w:r>
    </w:p>
    <w:p w:rsidR="00ED0231" w:rsidRPr="00ED0231" w:rsidRDefault="00ED0231" w:rsidP="00ED0231">
      <w:pPr>
        <w:pStyle w:val="NormalWeb"/>
        <w:numPr>
          <w:ilvl w:val="1"/>
          <w:numId w:val="1"/>
        </w:numPr>
        <w:tabs>
          <w:tab w:val="clear" w:pos="3081"/>
          <w:tab w:val="num" w:pos="1440"/>
        </w:tabs>
        <w:ind w:left="1440"/>
        <w:jc w:val="both"/>
        <w:rPr>
          <w:color w:val="000000"/>
          <w:sz w:val="20"/>
          <w:szCs w:val="20"/>
          <w:lang w:val="en"/>
        </w:rPr>
      </w:pPr>
      <w:r w:rsidRPr="00ED0231">
        <w:rPr>
          <w:color w:val="000000"/>
          <w:sz w:val="20"/>
          <w:szCs w:val="20"/>
          <w:lang w:val="en"/>
        </w:rPr>
        <w:t>New book by EPMI on residential sector energy use</w:t>
      </w:r>
      <w:r w:rsidR="00140C62">
        <w:rPr>
          <w:color w:val="000000"/>
          <w:sz w:val="20"/>
          <w:szCs w:val="20"/>
          <w:lang w:val="en"/>
        </w:rPr>
        <w:t xml:space="preserve"> by Mike Ma</w:t>
      </w:r>
      <w:bookmarkStart w:id="0" w:name="_GoBack"/>
      <w:bookmarkEnd w:id="0"/>
      <w:r w:rsidR="00140C62">
        <w:rPr>
          <w:color w:val="000000"/>
          <w:sz w:val="20"/>
          <w:szCs w:val="20"/>
          <w:lang w:val="en"/>
        </w:rPr>
        <w:t>cDonald</w:t>
      </w:r>
    </w:p>
    <w:p w:rsidR="00ED0231" w:rsidRPr="00ED0231" w:rsidRDefault="00ED0231" w:rsidP="00ED0231">
      <w:pPr>
        <w:pStyle w:val="NormalWeb"/>
        <w:numPr>
          <w:ilvl w:val="2"/>
          <w:numId w:val="1"/>
        </w:numPr>
        <w:tabs>
          <w:tab w:val="clear" w:pos="3801"/>
          <w:tab w:val="num" w:pos="2160"/>
        </w:tabs>
        <w:ind w:left="2160"/>
        <w:jc w:val="both"/>
        <w:rPr>
          <w:color w:val="000000"/>
          <w:sz w:val="20"/>
          <w:szCs w:val="20"/>
          <w:lang w:val="en"/>
        </w:rPr>
      </w:pPr>
      <w:r w:rsidRPr="00ED0231">
        <w:rPr>
          <w:color w:val="000000"/>
          <w:sz w:val="20"/>
          <w:szCs w:val="20"/>
          <w:lang w:val="en"/>
        </w:rPr>
        <w:t xml:space="preserve">Notice sent out to TC on listserv:   </w:t>
      </w:r>
      <w:hyperlink r:id="rId7" w:history="1">
        <w:r w:rsidRPr="00ED0231">
          <w:rPr>
            <w:rStyle w:val="Hyperlink"/>
            <w:sz w:val="20"/>
            <w:szCs w:val="20"/>
            <w:lang w:val="en"/>
          </w:rPr>
          <w:t>http://epminst.us/states/shapingres.htm</w:t>
        </w:r>
      </w:hyperlink>
      <w:r w:rsidRPr="00ED0231">
        <w:rPr>
          <w:color w:val="000000"/>
          <w:sz w:val="20"/>
          <w:szCs w:val="20"/>
          <w:lang w:val="en"/>
        </w:rPr>
        <w:t xml:space="preserve"> </w:t>
      </w:r>
    </w:p>
    <w:p w:rsidR="00ED0231" w:rsidRPr="00ED0231" w:rsidRDefault="00ED0231" w:rsidP="00ED0231">
      <w:pPr>
        <w:pStyle w:val="NormalWeb"/>
        <w:numPr>
          <w:ilvl w:val="2"/>
          <w:numId w:val="1"/>
        </w:numPr>
        <w:tabs>
          <w:tab w:val="clear" w:pos="3801"/>
          <w:tab w:val="num" w:pos="2160"/>
        </w:tabs>
        <w:ind w:left="2160"/>
        <w:jc w:val="both"/>
        <w:rPr>
          <w:color w:val="000000"/>
          <w:sz w:val="20"/>
          <w:szCs w:val="20"/>
          <w:lang w:val="en"/>
        </w:rPr>
      </w:pPr>
      <w:r w:rsidRPr="00ED0231">
        <w:rPr>
          <w:color w:val="000000"/>
          <w:sz w:val="20"/>
          <w:szCs w:val="20"/>
          <w:lang w:val="en"/>
        </w:rPr>
        <w:t>Measurement of sectoral energy performance is going to keep increasing in importance</w:t>
      </w:r>
    </w:p>
    <w:p w:rsidR="00ED0231" w:rsidRPr="00ED0231" w:rsidRDefault="00ED0231" w:rsidP="00ED0231">
      <w:pPr>
        <w:pStyle w:val="NormalWeb"/>
        <w:numPr>
          <w:ilvl w:val="1"/>
          <w:numId w:val="1"/>
        </w:numPr>
        <w:tabs>
          <w:tab w:val="clear" w:pos="3081"/>
          <w:tab w:val="num" w:pos="1440"/>
        </w:tabs>
        <w:ind w:left="1440"/>
        <w:jc w:val="both"/>
        <w:rPr>
          <w:color w:val="000000"/>
          <w:sz w:val="20"/>
          <w:szCs w:val="20"/>
          <w:lang w:val="en"/>
        </w:rPr>
      </w:pPr>
      <w:r w:rsidRPr="00ED0231">
        <w:rPr>
          <w:color w:val="000000"/>
          <w:sz w:val="20"/>
          <w:szCs w:val="20"/>
          <w:lang w:val="en"/>
        </w:rPr>
        <w:t>DOE Issues a Direct Final Rule Regarding Small, Large, and Very Large Air-Cooled Commercial Package Air Conditioning, Heating Equipment, and Commercial Warm Air Furnaces The Department of Energy (DOE) has issued a pre-publication Federal Register direct final rule regarding energy conservation standards for small, large, and very large air-cooled commercial package air conditioning, heating equipment, and commercial warm air furnaces. (December 17, 2015). There is supporting documents associated with this rulemaking are included in Docket Numbers.</w:t>
      </w:r>
    </w:p>
    <w:p w:rsidR="00ED0231" w:rsidRPr="00ED0231" w:rsidRDefault="00ED0231" w:rsidP="00ED0231">
      <w:pPr>
        <w:pStyle w:val="NormalWeb"/>
        <w:ind w:left="1440"/>
        <w:jc w:val="both"/>
        <w:rPr>
          <w:color w:val="000000"/>
          <w:sz w:val="20"/>
          <w:szCs w:val="20"/>
          <w:lang w:val="en"/>
        </w:rPr>
      </w:pPr>
      <w:r w:rsidRPr="00ED0231">
        <w:rPr>
          <w:color w:val="000000"/>
          <w:sz w:val="20"/>
          <w:szCs w:val="20"/>
          <w:lang w:val="en"/>
        </w:rPr>
        <w:t>EERE–2013–BT–STD–0007 and EERE–2013–BT–STD–0021</w:t>
      </w:r>
    </w:p>
    <w:p w:rsidR="00ED0231" w:rsidRPr="00ED0231" w:rsidRDefault="00ED0231" w:rsidP="00ED0231">
      <w:pPr>
        <w:pStyle w:val="PlainText"/>
        <w:ind w:left="1080"/>
        <w:rPr>
          <w:rFonts w:ascii="Times New Roman" w:hAnsi="Times New Roman"/>
          <w:color w:val="000000"/>
          <w:sz w:val="20"/>
          <w:szCs w:val="20"/>
          <w:lang w:val="en"/>
        </w:rPr>
      </w:pPr>
      <w:r w:rsidRPr="00ED0231">
        <w:rPr>
          <w:rFonts w:ascii="Times New Roman" w:hAnsi="Times New Roman"/>
        </w:rPr>
        <w:t xml:space="preserve"> </w:t>
      </w:r>
    </w:p>
    <w:p w:rsidR="00ED0231" w:rsidRPr="00ED0231" w:rsidRDefault="00ED0231" w:rsidP="00ED0231">
      <w:pPr>
        <w:pStyle w:val="NormalWeb"/>
        <w:numPr>
          <w:ilvl w:val="1"/>
          <w:numId w:val="1"/>
        </w:numPr>
        <w:tabs>
          <w:tab w:val="clear" w:pos="3081"/>
          <w:tab w:val="num" w:pos="1440"/>
        </w:tabs>
        <w:ind w:left="1440"/>
        <w:jc w:val="both"/>
        <w:rPr>
          <w:color w:val="000000"/>
          <w:sz w:val="20"/>
          <w:szCs w:val="20"/>
          <w:lang w:val="en"/>
        </w:rPr>
      </w:pPr>
      <w:r w:rsidRPr="00ED0231">
        <w:rPr>
          <w:color w:val="000000"/>
          <w:sz w:val="20"/>
          <w:szCs w:val="20"/>
          <w:lang w:val="en"/>
        </w:rPr>
        <w:t>DOE Announces $11 Million for Seven New Projects to Test New Options for Optimal Efficiency of the U.S. Electric Grid.</w:t>
      </w:r>
    </w:p>
    <w:p w:rsidR="00ED0231" w:rsidRPr="00ED0231" w:rsidRDefault="00ED0231" w:rsidP="00ED0231">
      <w:pPr>
        <w:pStyle w:val="NormalWeb"/>
        <w:jc w:val="both"/>
        <w:rPr>
          <w:color w:val="000000"/>
          <w:sz w:val="20"/>
          <w:szCs w:val="20"/>
          <w:lang w:val="en"/>
        </w:rPr>
      </w:pPr>
      <w:hyperlink r:id="rId8" w:history="1">
        <w:r w:rsidRPr="00ED0231">
          <w:rPr>
            <w:rStyle w:val="Hyperlink"/>
            <w:sz w:val="20"/>
            <w:szCs w:val="20"/>
            <w:lang w:val="en"/>
          </w:rPr>
          <w:t>http://www.energy.gov/articles/doe-announces-11-million-seven-new-projects-test-new-options-optimal-efficiency-us-electric</w:t>
        </w:r>
      </w:hyperlink>
    </w:p>
    <w:p w:rsidR="00ED0231" w:rsidRPr="00ED0231" w:rsidRDefault="00ED0231" w:rsidP="00ED0231">
      <w:pPr>
        <w:pStyle w:val="NormalWeb"/>
        <w:numPr>
          <w:ilvl w:val="1"/>
          <w:numId w:val="1"/>
        </w:numPr>
        <w:tabs>
          <w:tab w:val="clear" w:pos="3081"/>
          <w:tab w:val="num" w:pos="1440"/>
        </w:tabs>
        <w:ind w:left="1440"/>
        <w:jc w:val="both"/>
        <w:rPr>
          <w:color w:val="000000"/>
          <w:sz w:val="20"/>
          <w:szCs w:val="20"/>
          <w:lang w:val="en"/>
        </w:rPr>
      </w:pPr>
      <w:r w:rsidRPr="00ED0231">
        <w:rPr>
          <w:color w:val="000000"/>
          <w:sz w:val="20"/>
          <w:szCs w:val="20"/>
          <w:lang w:val="en"/>
        </w:rPr>
        <w:lastRenderedPageBreak/>
        <w:t>In California - AB 802 (Williams), was signed which requires the CEC to establish the 2030 targets for energy efficiency reductions, repeals the AB 1103 benchmarking program and adopts an updated program which is intended to provide owners of large commercial buildings with access to energy data.  The bill also directs the PUC to determine how to incorporate meter-based performance into determinations of goals, portfolio cost-effectiveness, and authorized budgets for energy efficiency.</w:t>
      </w:r>
    </w:p>
    <w:p w:rsidR="00ED0231" w:rsidRPr="00ED0231" w:rsidRDefault="00ED0231" w:rsidP="00ED0231">
      <w:pPr>
        <w:pStyle w:val="NormalWeb"/>
        <w:numPr>
          <w:ilvl w:val="2"/>
          <w:numId w:val="1"/>
        </w:numPr>
        <w:tabs>
          <w:tab w:val="clear" w:pos="3801"/>
          <w:tab w:val="num" w:pos="2160"/>
        </w:tabs>
        <w:ind w:left="2160"/>
        <w:jc w:val="both"/>
        <w:rPr>
          <w:color w:val="000000"/>
          <w:sz w:val="20"/>
          <w:szCs w:val="20"/>
          <w:lang w:val="en"/>
        </w:rPr>
      </w:pPr>
      <w:r w:rsidRPr="00ED0231">
        <w:rPr>
          <w:color w:val="000000"/>
          <w:sz w:val="20"/>
          <w:szCs w:val="20"/>
          <w:lang w:val="en"/>
        </w:rPr>
        <w:t>Annual Benchmarking Required</w:t>
      </w:r>
    </w:p>
    <w:p w:rsidR="00ED0231" w:rsidRPr="00ED0231" w:rsidRDefault="00ED0231" w:rsidP="00ED0231">
      <w:pPr>
        <w:pStyle w:val="NormalWeb"/>
        <w:numPr>
          <w:ilvl w:val="2"/>
          <w:numId w:val="1"/>
        </w:numPr>
        <w:tabs>
          <w:tab w:val="clear" w:pos="3801"/>
          <w:tab w:val="num" w:pos="2160"/>
        </w:tabs>
        <w:ind w:left="2160"/>
        <w:jc w:val="both"/>
        <w:rPr>
          <w:color w:val="000000"/>
          <w:sz w:val="20"/>
          <w:szCs w:val="20"/>
          <w:lang w:val="en"/>
        </w:rPr>
      </w:pPr>
      <w:r w:rsidRPr="00ED0231">
        <w:rPr>
          <w:color w:val="000000"/>
          <w:sz w:val="20"/>
          <w:szCs w:val="20"/>
          <w:lang w:val="en"/>
        </w:rPr>
        <w:t>Commercial and Multifamily</w:t>
      </w:r>
    </w:p>
    <w:p w:rsidR="00ED0231" w:rsidRPr="00ED0231" w:rsidRDefault="00ED0231" w:rsidP="00ED0231">
      <w:pPr>
        <w:pStyle w:val="NormalWeb"/>
        <w:numPr>
          <w:ilvl w:val="2"/>
          <w:numId w:val="1"/>
        </w:numPr>
        <w:tabs>
          <w:tab w:val="clear" w:pos="3801"/>
          <w:tab w:val="num" w:pos="2160"/>
        </w:tabs>
        <w:ind w:left="2160"/>
        <w:jc w:val="both"/>
        <w:rPr>
          <w:color w:val="000000"/>
          <w:sz w:val="20"/>
          <w:szCs w:val="20"/>
          <w:lang w:val="en"/>
        </w:rPr>
      </w:pPr>
      <w:r w:rsidRPr="00ED0231">
        <w:rPr>
          <w:color w:val="000000"/>
          <w:sz w:val="20"/>
          <w:szCs w:val="20"/>
          <w:lang w:val="en"/>
        </w:rPr>
        <w:t>Utilities required to track whole-building info for reporting</w:t>
      </w:r>
    </w:p>
    <w:p w:rsidR="00ED0231" w:rsidRPr="00ED0231" w:rsidRDefault="00ED0231" w:rsidP="00ED0231">
      <w:pPr>
        <w:pStyle w:val="NormalWeb"/>
        <w:numPr>
          <w:ilvl w:val="2"/>
          <w:numId w:val="1"/>
        </w:numPr>
        <w:tabs>
          <w:tab w:val="clear" w:pos="3801"/>
          <w:tab w:val="num" w:pos="2160"/>
        </w:tabs>
        <w:ind w:left="1440" w:firstLine="540"/>
        <w:jc w:val="both"/>
        <w:rPr>
          <w:color w:val="000000"/>
          <w:sz w:val="20"/>
          <w:szCs w:val="20"/>
          <w:lang w:val="en"/>
        </w:rPr>
      </w:pPr>
      <w:r w:rsidRPr="00ED0231">
        <w:rPr>
          <w:color w:val="000000"/>
          <w:sz w:val="20"/>
          <w:szCs w:val="20"/>
          <w:lang w:val="en"/>
        </w:rPr>
        <w:t>Repeals AB 1103 benchmarking in state in 2016</w:t>
      </w:r>
    </w:p>
    <w:p w:rsidR="00ED0231" w:rsidRPr="00ED0231" w:rsidRDefault="00ED0231" w:rsidP="00ED0231">
      <w:pPr>
        <w:pStyle w:val="NormalWeb"/>
        <w:numPr>
          <w:ilvl w:val="2"/>
          <w:numId w:val="1"/>
        </w:numPr>
        <w:tabs>
          <w:tab w:val="clear" w:pos="3801"/>
          <w:tab w:val="num" w:pos="2160"/>
        </w:tabs>
        <w:ind w:left="1440" w:firstLine="540"/>
        <w:jc w:val="both"/>
        <w:rPr>
          <w:color w:val="000000"/>
          <w:sz w:val="20"/>
          <w:szCs w:val="20"/>
          <w:lang w:val="en"/>
        </w:rPr>
      </w:pPr>
      <w:r w:rsidRPr="00ED0231">
        <w:rPr>
          <w:color w:val="000000"/>
          <w:sz w:val="20"/>
          <w:szCs w:val="20"/>
          <w:lang w:val="en"/>
        </w:rPr>
        <w:t>Set’s 1/1/2017 for rollout of benchmarking required for all commercial buildings</w:t>
      </w:r>
    </w:p>
    <w:p w:rsidR="00ED0231" w:rsidRPr="00ED0231" w:rsidRDefault="00ED0231" w:rsidP="00ED0231">
      <w:pPr>
        <w:pStyle w:val="NormalWeb"/>
        <w:numPr>
          <w:ilvl w:val="2"/>
          <w:numId w:val="1"/>
        </w:numPr>
        <w:tabs>
          <w:tab w:val="clear" w:pos="3801"/>
          <w:tab w:val="num" w:pos="2160"/>
        </w:tabs>
        <w:ind w:left="1440" w:firstLine="540"/>
        <w:jc w:val="both"/>
        <w:rPr>
          <w:color w:val="000000"/>
          <w:sz w:val="20"/>
          <w:szCs w:val="20"/>
          <w:lang w:val="en"/>
        </w:rPr>
      </w:pPr>
      <w:r w:rsidRPr="00ED0231">
        <w:rPr>
          <w:color w:val="000000"/>
          <w:sz w:val="20"/>
          <w:szCs w:val="20"/>
          <w:lang w:val="en"/>
        </w:rPr>
        <w:t>Allows roll up of energy use for multi-tenant buildings at utilities</w:t>
      </w:r>
    </w:p>
    <w:p w:rsidR="00ED0231" w:rsidRPr="00ED0231" w:rsidRDefault="00ED0231" w:rsidP="00ED0231">
      <w:pPr>
        <w:widowControl/>
        <w:numPr>
          <w:ilvl w:val="1"/>
          <w:numId w:val="1"/>
        </w:numPr>
        <w:tabs>
          <w:tab w:val="clear" w:pos="3081"/>
          <w:tab w:val="num" w:pos="1440"/>
        </w:tabs>
        <w:spacing w:after="0" w:line="240" w:lineRule="auto"/>
        <w:ind w:left="1440"/>
        <w:rPr>
          <w:rFonts w:ascii="Times New Roman" w:hAnsi="Times New Roman" w:cs="Times New Roman"/>
          <w:color w:val="000000"/>
          <w:sz w:val="20"/>
          <w:szCs w:val="20"/>
          <w:lang w:val="en"/>
        </w:rPr>
      </w:pPr>
      <w:r w:rsidRPr="00ED0231">
        <w:rPr>
          <w:rFonts w:ascii="Times New Roman" w:hAnsi="Times New Roman" w:cs="Times New Roman"/>
          <w:color w:val="000000"/>
          <w:sz w:val="20"/>
          <w:szCs w:val="20"/>
          <w:lang w:val="en"/>
        </w:rPr>
        <w:t>California - SB 350 (</w:t>
      </w:r>
      <w:proofErr w:type="spellStart"/>
      <w:r w:rsidRPr="00ED0231">
        <w:rPr>
          <w:rFonts w:ascii="Times New Roman" w:hAnsi="Times New Roman" w:cs="Times New Roman"/>
          <w:color w:val="000000"/>
          <w:sz w:val="20"/>
          <w:szCs w:val="20"/>
          <w:lang w:val="en"/>
        </w:rPr>
        <w:t>DeLeon</w:t>
      </w:r>
      <w:proofErr w:type="spellEnd"/>
      <w:r w:rsidRPr="00ED0231">
        <w:rPr>
          <w:rFonts w:ascii="Times New Roman" w:hAnsi="Times New Roman" w:cs="Times New Roman"/>
          <w:color w:val="000000"/>
          <w:sz w:val="20"/>
          <w:szCs w:val="20"/>
          <w:lang w:val="en"/>
        </w:rPr>
        <w:t>) codifies goals Governor Brown laid out in his January 2015 address to double the rate of energy efficiency savings in California buildings and generate half of the state's electricity from renewable sources by 2030.</w:t>
      </w:r>
    </w:p>
    <w:p w:rsidR="00ED0231" w:rsidRPr="00ED0231" w:rsidRDefault="00ED0231" w:rsidP="00ED0231">
      <w:pPr>
        <w:widowControl/>
        <w:numPr>
          <w:ilvl w:val="1"/>
          <w:numId w:val="1"/>
        </w:numPr>
        <w:tabs>
          <w:tab w:val="clear" w:pos="3081"/>
          <w:tab w:val="num" w:pos="1440"/>
        </w:tabs>
        <w:spacing w:after="0" w:line="240" w:lineRule="auto"/>
        <w:ind w:left="1440"/>
        <w:rPr>
          <w:rFonts w:ascii="Times New Roman" w:hAnsi="Times New Roman" w:cs="Times New Roman"/>
          <w:color w:val="000000"/>
          <w:sz w:val="20"/>
          <w:szCs w:val="20"/>
          <w:lang w:val="en"/>
        </w:rPr>
      </w:pPr>
      <w:r w:rsidRPr="00ED0231">
        <w:rPr>
          <w:rFonts w:ascii="Times New Roman" w:hAnsi="Times New Roman" w:cs="Times New Roman"/>
          <w:color w:val="000000"/>
          <w:sz w:val="20"/>
          <w:szCs w:val="20"/>
          <w:lang w:val="en"/>
        </w:rPr>
        <w:t xml:space="preserve">Also CA has new “action plan” for existing buildings energy efficiency </w:t>
      </w:r>
      <w:hyperlink r:id="rId9" w:history="1">
        <w:r w:rsidRPr="00ED0231">
          <w:rPr>
            <w:rStyle w:val="Hyperlink"/>
            <w:rFonts w:ascii="Times New Roman" w:hAnsi="Times New Roman" w:cs="Times New Roman"/>
            <w:sz w:val="20"/>
            <w:szCs w:val="20"/>
            <w:lang w:val="en"/>
          </w:rPr>
          <w:t>http://www.energy.ca.gov/2015publications/CEC-400-2015-013/CEC-400-2015-013-D.pdf</w:t>
        </w:r>
      </w:hyperlink>
      <w:r w:rsidRPr="00ED0231">
        <w:rPr>
          <w:rFonts w:ascii="Times New Roman" w:hAnsi="Times New Roman" w:cs="Times New Roman"/>
          <w:color w:val="000000"/>
          <w:sz w:val="20"/>
          <w:szCs w:val="20"/>
          <w:lang w:val="en"/>
        </w:rPr>
        <w:t xml:space="preserve"> </w:t>
      </w:r>
    </w:p>
    <w:p w:rsidR="00ED0231" w:rsidRPr="00ED0231" w:rsidRDefault="00ED0231" w:rsidP="00ED0231">
      <w:pPr>
        <w:ind w:left="1080"/>
        <w:rPr>
          <w:rFonts w:ascii="Times New Roman" w:hAnsi="Times New Roman" w:cs="Times New Roman"/>
          <w:color w:val="000000"/>
          <w:sz w:val="20"/>
          <w:szCs w:val="20"/>
          <w:lang w:val="en"/>
        </w:rPr>
      </w:pPr>
    </w:p>
    <w:p w:rsidR="00ED0231" w:rsidRPr="00ED0231" w:rsidRDefault="00ED0231" w:rsidP="00ED0231">
      <w:pPr>
        <w:widowControl/>
        <w:numPr>
          <w:ilvl w:val="1"/>
          <w:numId w:val="1"/>
        </w:numPr>
        <w:tabs>
          <w:tab w:val="clear" w:pos="3081"/>
          <w:tab w:val="num" w:pos="1440"/>
        </w:tabs>
        <w:spacing w:after="0" w:line="240" w:lineRule="auto"/>
        <w:ind w:left="1440"/>
        <w:rPr>
          <w:rFonts w:ascii="Times New Roman" w:hAnsi="Times New Roman" w:cs="Times New Roman"/>
          <w:color w:val="000000"/>
          <w:sz w:val="20"/>
          <w:szCs w:val="20"/>
          <w:lang w:val="en"/>
        </w:rPr>
      </w:pPr>
      <w:r w:rsidRPr="00ED0231">
        <w:rPr>
          <w:rFonts w:ascii="Times New Roman" w:hAnsi="Times New Roman" w:cs="Times New Roman"/>
          <w:color w:val="000000"/>
          <w:sz w:val="20"/>
          <w:szCs w:val="20"/>
          <w:lang w:val="en"/>
        </w:rPr>
        <w:t>U.S. CO</w:t>
      </w:r>
      <w:r w:rsidRPr="00ED0231">
        <w:rPr>
          <w:rFonts w:ascii="Times New Roman" w:hAnsi="Times New Roman" w:cs="Times New Roman"/>
          <w:color w:val="000000"/>
          <w:sz w:val="20"/>
          <w:szCs w:val="20"/>
          <w:vertAlign w:val="subscript"/>
          <w:lang w:val="en"/>
        </w:rPr>
        <w:t>2</w:t>
      </w:r>
      <w:r w:rsidRPr="00ED0231">
        <w:rPr>
          <w:rFonts w:ascii="Times New Roman" w:hAnsi="Times New Roman" w:cs="Times New Roman"/>
          <w:color w:val="000000"/>
          <w:sz w:val="20"/>
          <w:szCs w:val="20"/>
          <w:lang w:val="en"/>
        </w:rPr>
        <w:t xml:space="preserve"> Reductions</w:t>
      </w:r>
    </w:p>
    <w:p w:rsidR="00ED0231" w:rsidRPr="00ED0231" w:rsidRDefault="00ED0231" w:rsidP="00ED0231">
      <w:pPr>
        <w:pStyle w:val="NormalWeb"/>
        <w:ind w:left="1440"/>
        <w:jc w:val="both"/>
        <w:rPr>
          <w:color w:val="000000"/>
          <w:sz w:val="20"/>
          <w:szCs w:val="20"/>
          <w:lang w:val="en"/>
        </w:rPr>
      </w:pPr>
    </w:p>
    <w:p w:rsidR="00ED0231" w:rsidRPr="00ED0231" w:rsidRDefault="00ED0231" w:rsidP="00ED0231">
      <w:pPr>
        <w:pStyle w:val="NormalWeb"/>
        <w:ind w:left="1080"/>
        <w:jc w:val="both"/>
        <w:rPr>
          <w:color w:val="000000"/>
          <w:sz w:val="20"/>
          <w:szCs w:val="20"/>
          <w:lang w:val="en"/>
        </w:rPr>
      </w:pPr>
      <w:r w:rsidRPr="00ED0231">
        <w:rPr>
          <w:noProof/>
        </w:rPr>
        <w:drawing>
          <wp:inline distT="0" distB="0" distL="0" distR="0" wp14:anchorId="0857E71A" wp14:editId="2F4986FF">
            <wp:extent cx="5151120" cy="262509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51120" cy="2625090"/>
                    </a:xfrm>
                    <a:prstGeom prst="rect">
                      <a:avLst/>
                    </a:prstGeom>
                    <a:noFill/>
                    <a:ln>
                      <a:noFill/>
                    </a:ln>
                  </pic:spPr>
                </pic:pic>
              </a:graphicData>
            </a:graphic>
          </wp:inline>
        </w:drawing>
      </w:r>
    </w:p>
    <w:p w:rsidR="00ED0231" w:rsidRPr="00ED0231" w:rsidRDefault="00ED0231" w:rsidP="00ED0231">
      <w:pPr>
        <w:pStyle w:val="NormalWeb"/>
        <w:numPr>
          <w:ilvl w:val="1"/>
          <w:numId w:val="1"/>
        </w:numPr>
        <w:tabs>
          <w:tab w:val="clear" w:pos="3081"/>
          <w:tab w:val="num" w:pos="1440"/>
        </w:tabs>
        <w:ind w:left="1440"/>
        <w:jc w:val="both"/>
        <w:rPr>
          <w:color w:val="000000"/>
          <w:sz w:val="20"/>
          <w:szCs w:val="20"/>
          <w:lang w:val="en"/>
        </w:rPr>
      </w:pPr>
      <w:r w:rsidRPr="00ED0231">
        <w:rPr>
          <w:color w:val="000000"/>
          <w:sz w:val="20"/>
          <w:szCs w:val="20"/>
          <w:lang w:val="en"/>
        </w:rPr>
        <w:t xml:space="preserve">DOE Announces $220 Million in Grid Modernization Funding. </w:t>
      </w:r>
    </w:p>
    <w:p w:rsidR="00ED0231" w:rsidRPr="00ED0231" w:rsidRDefault="00ED0231" w:rsidP="00ED0231">
      <w:pPr>
        <w:spacing w:afterLines="20" w:after="48"/>
        <w:rPr>
          <w:rFonts w:ascii="Times New Roman" w:hAnsi="Times New Roman" w:cs="Times New Roman"/>
          <w:sz w:val="20"/>
          <w:szCs w:val="20"/>
        </w:rPr>
      </w:pPr>
    </w:p>
    <w:p w:rsidR="00ED0231" w:rsidRPr="00ED0231" w:rsidRDefault="00ED0231" w:rsidP="00ED0231">
      <w:pPr>
        <w:pStyle w:val="NormalWeb"/>
        <w:numPr>
          <w:ilvl w:val="0"/>
          <w:numId w:val="1"/>
        </w:numPr>
        <w:tabs>
          <w:tab w:val="clear" w:pos="2721"/>
        </w:tabs>
        <w:ind w:left="360" w:hanging="360"/>
        <w:jc w:val="both"/>
        <w:rPr>
          <w:b/>
          <w:color w:val="000000"/>
          <w:sz w:val="20"/>
          <w:szCs w:val="20"/>
          <w:lang w:val="en"/>
        </w:rPr>
      </w:pPr>
      <w:r w:rsidRPr="00ED0231">
        <w:rPr>
          <w:b/>
          <w:color w:val="000000"/>
          <w:sz w:val="20"/>
          <w:szCs w:val="20"/>
          <w:lang w:val="en"/>
        </w:rPr>
        <w:t>World Energy Initiatives</w:t>
      </w:r>
    </w:p>
    <w:p w:rsidR="00ED0231" w:rsidRPr="00ED0231" w:rsidRDefault="00ED0231" w:rsidP="00ED0231">
      <w:pPr>
        <w:pStyle w:val="NormalWeb"/>
        <w:numPr>
          <w:ilvl w:val="1"/>
          <w:numId w:val="1"/>
        </w:numPr>
        <w:tabs>
          <w:tab w:val="clear" w:pos="3081"/>
          <w:tab w:val="num" w:pos="1440"/>
        </w:tabs>
        <w:ind w:left="1440"/>
        <w:jc w:val="both"/>
        <w:rPr>
          <w:color w:val="000000"/>
          <w:sz w:val="20"/>
          <w:szCs w:val="20"/>
          <w:lang w:val="en"/>
        </w:rPr>
      </w:pPr>
      <w:r w:rsidRPr="00ED0231">
        <w:rPr>
          <w:color w:val="000000"/>
          <w:sz w:val="20"/>
          <w:szCs w:val="20"/>
          <w:lang w:val="en"/>
        </w:rPr>
        <w:t xml:space="preserve">World Energy Use </w:t>
      </w:r>
    </w:p>
    <w:p w:rsidR="00ED0231" w:rsidRPr="00ED0231" w:rsidRDefault="00ED0231" w:rsidP="00ED0231">
      <w:pPr>
        <w:pStyle w:val="NormalWeb"/>
        <w:numPr>
          <w:ilvl w:val="2"/>
          <w:numId w:val="1"/>
        </w:numPr>
        <w:tabs>
          <w:tab w:val="clear" w:pos="3801"/>
          <w:tab w:val="num" w:pos="2160"/>
        </w:tabs>
        <w:ind w:left="2160"/>
        <w:jc w:val="both"/>
        <w:rPr>
          <w:color w:val="000000"/>
          <w:sz w:val="20"/>
          <w:szCs w:val="20"/>
          <w:lang w:val="en"/>
        </w:rPr>
      </w:pPr>
      <w:r w:rsidRPr="00ED0231">
        <w:rPr>
          <w:color w:val="000000"/>
          <w:sz w:val="20"/>
          <w:szCs w:val="20"/>
          <w:lang w:val="en"/>
        </w:rPr>
        <w:t xml:space="preserve">World energy use is projected to increase by 61% overall from 2010 to 2040, with residential sector energy use also increasing that much and commercial sector increasing more. Condition of </w:t>
      </w:r>
      <w:proofErr w:type="spellStart"/>
      <w:r w:rsidRPr="00ED0231">
        <w:rPr>
          <w:color w:val="000000"/>
          <w:sz w:val="20"/>
          <w:szCs w:val="20"/>
          <w:lang w:val="en"/>
        </w:rPr>
        <w:t>wrold</w:t>
      </w:r>
      <w:proofErr w:type="spellEnd"/>
      <w:r w:rsidRPr="00ED0231">
        <w:rPr>
          <w:color w:val="000000"/>
          <w:sz w:val="20"/>
          <w:szCs w:val="20"/>
          <w:lang w:val="en"/>
        </w:rPr>
        <w:t xml:space="preserve"> economy is holding back energy use growth for the moment.</w:t>
      </w:r>
    </w:p>
    <w:p w:rsidR="00ED0231" w:rsidRPr="00ED0231" w:rsidRDefault="00ED0231" w:rsidP="00ED0231">
      <w:pPr>
        <w:pStyle w:val="NormalWeb"/>
        <w:numPr>
          <w:ilvl w:val="2"/>
          <w:numId w:val="1"/>
        </w:numPr>
        <w:tabs>
          <w:tab w:val="clear" w:pos="3801"/>
          <w:tab w:val="num" w:pos="2160"/>
        </w:tabs>
        <w:ind w:left="2160"/>
        <w:jc w:val="both"/>
        <w:rPr>
          <w:color w:val="000000"/>
          <w:sz w:val="20"/>
          <w:szCs w:val="20"/>
          <w:lang w:val="en"/>
        </w:rPr>
      </w:pPr>
      <w:r w:rsidRPr="00ED0231">
        <w:rPr>
          <w:color w:val="000000"/>
          <w:sz w:val="20"/>
          <w:szCs w:val="20"/>
          <w:lang w:val="en"/>
        </w:rPr>
        <w:t>World energy use increased by 46% from 1990 to 2010, and was mostly right on the data projections from 1990, so what good are politicians?  DOE promised in 1993 to save 15 quads/</w:t>
      </w:r>
      <w:proofErr w:type="spellStart"/>
      <w:r w:rsidRPr="00ED0231">
        <w:rPr>
          <w:color w:val="000000"/>
          <w:sz w:val="20"/>
          <w:szCs w:val="20"/>
          <w:lang w:val="en"/>
        </w:rPr>
        <w:t>yr</w:t>
      </w:r>
      <w:proofErr w:type="spellEnd"/>
      <w:r w:rsidRPr="00ED0231">
        <w:rPr>
          <w:color w:val="000000"/>
          <w:sz w:val="20"/>
          <w:szCs w:val="20"/>
          <w:lang w:val="en"/>
        </w:rPr>
        <w:t xml:space="preserve"> of building sector energy use by 2030.  Savings so far are about zero compared to the projections.</w:t>
      </w:r>
    </w:p>
    <w:p w:rsidR="00ED0231" w:rsidRPr="00ED0231" w:rsidRDefault="00ED0231" w:rsidP="00ED0231">
      <w:pPr>
        <w:pStyle w:val="NormalWeb"/>
        <w:numPr>
          <w:ilvl w:val="1"/>
          <w:numId w:val="1"/>
        </w:numPr>
        <w:tabs>
          <w:tab w:val="clear" w:pos="3081"/>
          <w:tab w:val="num" w:pos="1440"/>
        </w:tabs>
        <w:ind w:left="1440"/>
        <w:jc w:val="both"/>
        <w:rPr>
          <w:color w:val="000000"/>
          <w:sz w:val="20"/>
          <w:szCs w:val="20"/>
          <w:lang w:val="en"/>
        </w:rPr>
      </w:pPr>
      <w:r w:rsidRPr="00ED0231">
        <w:rPr>
          <w:color w:val="000000"/>
          <w:sz w:val="20"/>
          <w:szCs w:val="20"/>
          <w:lang w:val="en"/>
        </w:rPr>
        <w:t>One EU-funded project – CELSIUS – is demonstrating sustainable heating systems for high density urban areas that make use of waste heat.</w:t>
      </w:r>
    </w:p>
    <w:p w:rsidR="00ED0231" w:rsidRPr="00ED0231" w:rsidRDefault="00ED0231" w:rsidP="00ED0231">
      <w:pPr>
        <w:pStyle w:val="NormalWeb"/>
        <w:numPr>
          <w:ilvl w:val="1"/>
          <w:numId w:val="1"/>
        </w:numPr>
        <w:tabs>
          <w:tab w:val="clear" w:pos="3081"/>
          <w:tab w:val="num" w:pos="1440"/>
        </w:tabs>
        <w:ind w:left="1440"/>
        <w:jc w:val="both"/>
        <w:rPr>
          <w:color w:val="000000"/>
          <w:sz w:val="20"/>
          <w:szCs w:val="20"/>
          <w:lang w:val="en"/>
        </w:rPr>
      </w:pPr>
      <w:r w:rsidRPr="00ED0231">
        <w:rPr>
          <w:color w:val="000000"/>
          <w:sz w:val="20"/>
          <w:szCs w:val="20"/>
          <w:lang w:val="en"/>
        </w:rPr>
        <w:t xml:space="preserve">EU countries agreed on a Commission proposal to invest €217 million in key trans-European energy infrastructure projects, mainly in Central and South Eastern Europe. In total, 15 projects were selected following a call for proposals under the Connecting Europe Facility (CEF), an EU funding </w:t>
      </w:r>
      <w:proofErr w:type="spellStart"/>
      <w:r w:rsidRPr="00ED0231">
        <w:rPr>
          <w:color w:val="000000"/>
          <w:sz w:val="20"/>
          <w:szCs w:val="20"/>
          <w:lang w:val="en"/>
        </w:rPr>
        <w:t>programme</w:t>
      </w:r>
      <w:proofErr w:type="spellEnd"/>
      <w:r w:rsidRPr="00ED0231">
        <w:rPr>
          <w:color w:val="000000"/>
          <w:sz w:val="20"/>
          <w:szCs w:val="20"/>
          <w:lang w:val="en"/>
        </w:rPr>
        <w:t xml:space="preserve"> for infrastructure.  </w:t>
      </w:r>
      <w:hyperlink r:id="rId11" w:history="1">
        <w:r w:rsidRPr="00ED0231">
          <w:rPr>
            <w:rStyle w:val="Hyperlink"/>
            <w:sz w:val="20"/>
            <w:szCs w:val="20"/>
            <w:lang w:val="en"/>
          </w:rPr>
          <w:t>http://ec.europa.e</w:t>
        </w:r>
        <w:r w:rsidRPr="00ED0231">
          <w:rPr>
            <w:rStyle w:val="Hyperlink"/>
            <w:sz w:val="20"/>
            <w:szCs w:val="20"/>
            <w:lang w:val="en"/>
          </w:rPr>
          <w:t>u</w:t>
        </w:r>
        <w:r w:rsidRPr="00ED0231">
          <w:rPr>
            <w:rStyle w:val="Hyperlink"/>
            <w:sz w:val="20"/>
            <w:szCs w:val="20"/>
            <w:lang w:val="en"/>
          </w:rPr>
          <w:t>/energy/en</w:t>
        </w:r>
      </w:hyperlink>
      <w:r w:rsidRPr="00ED0231">
        <w:rPr>
          <w:color w:val="000000"/>
          <w:sz w:val="20"/>
          <w:szCs w:val="20"/>
          <w:lang w:val="en"/>
        </w:rPr>
        <w:t xml:space="preserve"> </w:t>
      </w:r>
    </w:p>
    <w:p w:rsidR="00ED0231" w:rsidRPr="00ED0231" w:rsidRDefault="00ED0231" w:rsidP="00ED0231">
      <w:pPr>
        <w:pStyle w:val="NormalWeb"/>
        <w:numPr>
          <w:ilvl w:val="1"/>
          <w:numId w:val="1"/>
        </w:numPr>
        <w:tabs>
          <w:tab w:val="clear" w:pos="3081"/>
          <w:tab w:val="num" w:pos="1440"/>
        </w:tabs>
        <w:ind w:left="1440"/>
        <w:jc w:val="both"/>
        <w:rPr>
          <w:color w:val="000000"/>
          <w:sz w:val="20"/>
          <w:szCs w:val="20"/>
          <w:lang w:val="en"/>
        </w:rPr>
      </w:pPr>
      <w:r w:rsidRPr="00ED0231">
        <w:rPr>
          <w:color w:val="000000"/>
          <w:sz w:val="20"/>
          <w:szCs w:val="20"/>
          <w:lang w:val="en"/>
        </w:rPr>
        <w:t>European Union 2030 Targets</w:t>
      </w:r>
    </w:p>
    <w:p w:rsidR="00ED0231" w:rsidRPr="00ED0231" w:rsidRDefault="00ED0231" w:rsidP="00ED0231">
      <w:pPr>
        <w:pStyle w:val="NormalWeb"/>
        <w:numPr>
          <w:ilvl w:val="2"/>
          <w:numId w:val="1"/>
        </w:numPr>
        <w:tabs>
          <w:tab w:val="clear" w:pos="3801"/>
          <w:tab w:val="num" w:pos="2160"/>
        </w:tabs>
        <w:ind w:left="2160"/>
        <w:jc w:val="both"/>
        <w:rPr>
          <w:color w:val="000000"/>
          <w:sz w:val="20"/>
          <w:szCs w:val="20"/>
          <w:lang w:val="en"/>
        </w:rPr>
      </w:pPr>
      <w:r w:rsidRPr="00ED0231">
        <w:rPr>
          <w:color w:val="000000"/>
          <w:sz w:val="20"/>
          <w:szCs w:val="20"/>
          <w:lang w:val="en"/>
        </w:rPr>
        <w:lastRenderedPageBreak/>
        <w:t>a 40% cut in greenhouse gas emissions compared to 1990 levels</w:t>
      </w:r>
    </w:p>
    <w:p w:rsidR="00ED0231" w:rsidRPr="00ED0231" w:rsidRDefault="00ED0231" w:rsidP="00ED0231">
      <w:pPr>
        <w:pStyle w:val="NormalWeb"/>
        <w:numPr>
          <w:ilvl w:val="2"/>
          <w:numId w:val="1"/>
        </w:numPr>
        <w:tabs>
          <w:tab w:val="clear" w:pos="3801"/>
          <w:tab w:val="num" w:pos="2160"/>
        </w:tabs>
        <w:ind w:left="2160"/>
        <w:jc w:val="both"/>
        <w:rPr>
          <w:color w:val="000000"/>
          <w:sz w:val="20"/>
          <w:szCs w:val="20"/>
          <w:lang w:val="en"/>
        </w:rPr>
      </w:pPr>
      <w:r w:rsidRPr="00ED0231">
        <w:rPr>
          <w:color w:val="000000"/>
          <w:sz w:val="20"/>
          <w:szCs w:val="20"/>
          <w:lang w:val="en"/>
        </w:rPr>
        <w:t>at least a 27% share of renewable energy consumption</w:t>
      </w:r>
    </w:p>
    <w:p w:rsidR="00ED0231" w:rsidRPr="00ED0231" w:rsidRDefault="00ED0231" w:rsidP="00ED0231">
      <w:pPr>
        <w:pStyle w:val="NormalWeb"/>
        <w:numPr>
          <w:ilvl w:val="2"/>
          <w:numId w:val="1"/>
        </w:numPr>
        <w:tabs>
          <w:tab w:val="clear" w:pos="3801"/>
          <w:tab w:val="num" w:pos="2160"/>
        </w:tabs>
        <w:ind w:left="2160"/>
        <w:jc w:val="both"/>
        <w:rPr>
          <w:color w:val="000000"/>
          <w:sz w:val="20"/>
          <w:szCs w:val="20"/>
          <w:lang w:val="en"/>
        </w:rPr>
      </w:pPr>
      <w:r w:rsidRPr="00ED0231">
        <w:rPr>
          <w:color w:val="000000"/>
          <w:sz w:val="20"/>
          <w:szCs w:val="20"/>
          <w:lang w:val="en"/>
        </w:rPr>
        <w:t>at least 27% energy savings compared with the business-as-usual scenario</w:t>
      </w:r>
    </w:p>
    <w:p w:rsidR="00ED0231" w:rsidRPr="00ED0231" w:rsidRDefault="00ED0231" w:rsidP="00ED0231">
      <w:pPr>
        <w:pStyle w:val="NormalWeb"/>
        <w:numPr>
          <w:ilvl w:val="1"/>
          <w:numId w:val="1"/>
        </w:numPr>
        <w:tabs>
          <w:tab w:val="clear" w:pos="3081"/>
          <w:tab w:val="num" w:pos="1440"/>
        </w:tabs>
        <w:spacing w:afterLines="20" w:after="48"/>
        <w:ind w:left="1440"/>
        <w:jc w:val="both"/>
        <w:rPr>
          <w:b/>
          <w:sz w:val="20"/>
          <w:szCs w:val="20"/>
        </w:rPr>
      </w:pPr>
      <w:r w:rsidRPr="00ED0231">
        <w:rPr>
          <w:color w:val="000000"/>
          <w:sz w:val="20"/>
          <w:szCs w:val="20"/>
          <w:lang w:val="en"/>
        </w:rPr>
        <w:t>European Union 2050 Targets - The EU has set itself a long-term goal of reducing greenhouse gas emissions by 80-95% when compared to 1990 levels by 2050. The Energy Roadmap 2050 explores the transition of the energy system in ways that would be compatible with this greenhouse gas reductions target while also increasing competitiveness and security of supply.</w:t>
      </w:r>
    </w:p>
    <w:p w:rsidR="00ED0231" w:rsidRPr="00ED0231" w:rsidRDefault="00ED0231" w:rsidP="00ED0231">
      <w:pPr>
        <w:spacing w:afterLines="20" w:after="48"/>
        <w:ind w:left="1440"/>
        <w:rPr>
          <w:rFonts w:ascii="Times New Roman" w:hAnsi="Times New Roman" w:cs="Times New Roman"/>
          <w:sz w:val="20"/>
          <w:szCs w:val="20"/>
        </w:rPr>
      </w:pPr>
      <w:hyperlink r:id="rId12" w:history="1">
        <w:r w:rsidRPr="00ED0231">
          <w:rPr>
            <w:rStyle w:val="Hyperlink"/>
            <w:rFonts w:ascii="Times New Roman" w:hAnsi="Times New Roman" w:cs="Times New Roman"/>
            <w:sz w:val="20"/>
            <w:szCs w:val="20"/>
          </w:rPr>
          <w:t>https://ec.europa.eu/energy/en/topics/energy-strategy</w:t>
        </w:r>
      </w:hyperlink>
      <w:r w:rsidRPr="00ED0231">
        <w:rPr>
          <w:rFonts w:ascii="Times New Roman" w:hAnsi="Times New Roman" w:cs="Times New Roman"/>
          <w:sz w:val="20"/>
          <w:szCs w:val="20"/>
        </w:rPr>
        <w:t xml:space="preserve"> </w:t>
      </w:r>
    </w:p>
    <w:p w:rsidR="00ED0231" w:rsidRPr="00ED0231" w:rsidRDefault="00ED0231" w:rsidP="00ED0231">
      <w:pPr>
        <w:widowControl/>
        <w:numPr>
          <w:ilvl w:val="1"/>
          <w:numId w:val="1"/>
        </w:numPr>
        <w:tabs>
          <w:tab w:val="clear" w:pos="3081"/>
          <w:tab w:val="num" w:pos="1440"/>
        </w:tabs>
        <w:spacing w:afterLines="20" w:after="48" w:line="240" w:lineRule="auto"/>
        <w:ind w:left="1440"/>
        <w:rPr>
          <w:rFonts w:ascii="Times New Roman" w:hAnsi="Times New Roman" w:cs="Times New Roman"/>
          <w:sz w:val="20"/>
          <w:szCs w:val="20"/>
        </w:rPr>
      </w:pPr>
      <w:r w:rsidRPr="00ED0231">
        <w:rPr>
          <w:rFonts w:ascii="Times New Roman" w:hAnsi="Times New Roman" w:cs="Times New Roman"/>
          <w:sz w:val="20"/>
          <w:szCs w:val="20"/>
        </w:rPr>
        <w:t xml:space="preserve">The International Building Energy Performance Metrics report, published by the International Energy Agency and the International Partnership for Energy Efficiency Cooperation, publicly released a few months ago.  It is available at </w:t>
      </w:r>
      <w:hyperlink r:id="rId13" w:history="1">
        <w:r w:rsidRPr="00ED0231">
          <w:rPr>
            <w:rStyle w:val="Hyperlink"/>
            <w:rFonts w:ascii="Times New Roman" w:hAnsi="Times New Roman" w:cs="Times New Roman"/>
            <w:sz w:val="20"/>
            <w:szCs w:val="20"/>
          </w:rPr>
          <w:t>https://www.iea.or</w:t>
        </w:r>
        <w:r w:rsidRPr="00ED0231">
          <w:rPr>
            <w:rStyle w:val="Hyperlink"/>
            <w:rFonts w:ascii="Times New Roman" w:hAnsi="Times New Roman" w:cs="Times New Roman"/>
            <w:sz w:val="20"/>
            <w:szCs w:val="20"/>
          </w:rPr>
          <w:t>g</w:t>
        </w:r>
        <w:r w:rsidRPr="00ED0231">
          <w:rPr>
            <w:rStyle w:val="Hyperlink"/>
            <w:rFonts w:ascii="Times New Roman" w:hAnsi="Times New Roman" w:cs="Times New Roman"/>
            <w:sz w:val="20"/>
            <w:szCs w:val="20"/>
          </w:rPr>
          <w:t>/publications/freepublications/publication/building-energy-performance-metrics.html</w:t>
        </w:r>
      </w:hyperlink>
      <w:r w:rsidRPr="00ED0231">
        <w:rPr>
          <w:rFonts w:ascii="Times New Roman" w:hAnsi="Times New Roman" w:cs="Times New Roman"/>
          <w:sz w:val="20"/>
          <w:szCs w:val="20"/>
        </w:rPr>
        <w:t xml:space="preserve"> </w:t>
      </w:r>
    </w:p>
    <w:p w:rsidR="00ED0231" w:rsidRPr="00ED0231" w:rsidRDefault="00ED0231" w:rsidP="00ED0231">
      <w:pPr>
        <w:widowControl/>
        <w:numPr>
          <w:ilvl w:val="2"/>
          <w:numId w:val="1"/>
        </w:numPr>
        <w:tabs>
          <w:tab w:val="clear" w:pos="3801"/>
          <w:tab w:val="num" w:pos="2160"/>
        </w:tabs>
        <w:spacing w:afterLines="20" w:after="48" w:line="240" w:lineRule="auto"/>
        <w:ind w:left="2160"/>
        <w:rPr>
          <w:rFonts w:ascii="Times New Roman" w:hAnsi="Times New Roman" w:cs="Times New Roman"/>
          <w:sz w:val="20"/>
          <w:szCs w:val="20"/>
        </w:rPr>
      </w:pPr>
      <w:proofErr w:type="spellStart"/>
      <w:r w:rsidRPr="00ED0231">
        <w:rPr>
          <w:rFonts w:ascii="Times New Roman" w:hAnsi="Times New Roman" w:cs="Times New Roman"/>
          <w:sz w:val="20"/>
          <w:szCs w:val="20"/>
        </w:rPr>
        <w:t>Fraunhofer</w:t>
      </w:r>
      <w:proofErr w:type="spellEnd"/>
      <w:r w:rsidRPr="00ED0231">
        <w:rPr>
          <w:rFonts w:ascii="Times New Roman" w:hAnsi="Times New Roman" w:cs="Times New Roman"/>
          <w:sz w:val="20"/>
          <w:szCs w:val="20"/>
        </w:rPr>
        <w:t xml:space="preserve"> Institute – New Study - How Energy Efficiency Cuts Costs for a 2-degree Future</w:t>
      </w:r>
    </w:p>
    <w:p w:rsidR="00ED0231" w:rsidRPr="00ED0231" w:rsidRDefault="00ED0231" w:rsidP="00ED0231">
      <w:pPr>
        <w:widowControl/>
        <w:numPr>
          <w:ilvl w:val="2"/>
          <w:numId w:val="1"/>
        </w:numPr>
        <w:tabs>
          <w:tab w:val="clear" w:pos="3801"/>
          <w:tab w:val="num" w:pos="2160"/>
        </w:tabs>
        <w:spacing w:afterLines="20" w:after="48" w:line="240" w:lineRule="auto"/>
        <w:ind w:left="2160"/>
        <w:rPr>
          <w:rFonts w:ascii="Times New Roman" w:hAnsi="Times New Roman" w:cs="Times New Roman"/>
          <w:sz w:val="20"/>
          <w:szCs w:val="20"/>
        </w:rPr>
      </w:pPr>
      <w:hyperlink r:id="rId14" w:history="1">
        <w:r w:rsidRPr="00ED0231">
          <w:rPr>
            <w:rStyle w:val="Hyperlink"/>
            <w:rFonts w:ascii="Times New Roman" w:hAnsi="Times New Roman" w:cs="Times New Roman"/>
            <w:sz w:val="20"/>
            <w:szCs w:val="20"/>
          </w:rPr>
          <w:t>http://www.climateworks.org/wp-content/uploads/2015/11/Report_How-Energy-Efficiency-Cuts-Costs-for-a-2-Degree-Future.pdf</w:t>
        </w:r>
      </w:hyperlink>
      <w:r w:rsidRPr="00ED0231">
        <w:rPr>
          <w:rFonts w:ascii="Times New Roman" w:hAnsi="Times New Roman" w:cs="Times New Roman"/>
          <w:sz w:val="20"/>
          <w:szCs w:val="20"/>
        </w:rPr>
        <w:t xml:space="preserve"> </w:t>
      </w:r>
    </w:p>
    <w:p w:rsidR="00ED0231" w:rsidRPr="00ED0231" w:rsidRDefault="006972AE" w:rsidP="00ED0231">
      <w:pPr>
        <w:widowControl/>
        <w:numPr>
          <w:ilvl w:val="2"/>
          <w:numId w:val="1"/>
        </w:numPr>
        <w:tabs>
          <w:tab w:val="clear" w:pos="3801"/>
          <w:tab w:val="num" w:pos="2160"/>
        </w:tabs>
        <w:spacing w:afterLines="20" w:after="48" w:line="240" w:lineRule="auto"/>
        <w:ind w:left="2160"/>
        <w:rPr>
          <w:rFonts w:ascii="Times New Roman" w:hAnsi="Times New Roman" w:cs="Times New Roman"/>
          <w:sz w:val="20"/>
          <w:szCs w:val="20"/>
        </w:rPr>
      </w:pPr>
      <w:r>
        <w:rPr>
          <w:rFonts w:ascii="Times New Roman" w:hAnsi="Times New Roman" w:cs="Times New Roman"/>
          <w:sz w:val="20"/>
          <w:szCs w:val="20"/>
        </w:rPr>
        <w:t xml:space="preserve">Issue - </w:t>
      </w:r>
      <w:proofErr w:type="spellStart"/>
      <w:r w:rsidR="00ED0231" w:rsidRPr="00ED0231">
        <w:rPr>
          <w:rFonts w:ascii="Times New Roman" w:hAnsi="Times New Roman" w:cs="Times New Roman"/>
          <w:sz w:val="20"/>
          <w:szCs w:val="20"/>
        </w:rPr>
        <w:t>Fraunhofer</w:t>
      </w:r>
      <w:proofErr w:type="spellEnd"/>
      <w:r w:rsidR="00ED0231" w:rsidRPr="00ED0231">
        <w:rPr>
          <w:rFonts w:ascii="Times New Roman" w:hAnsi="Times New Roman" w:cs="Times New Roman"/>
          <w:sz w:val="20"/>
          <w:szCs w:val="20"/>
        </w:rPr>
        <w:t xml:space="preserve"> results beg the question about the renewables push by so many government entities, when efficiency is not pursued as much?</w:t>
      </w:r>
      <w:r>
        <w:rPr>
          <w:rFonts w:ascii="Times New Roman" w:hAnsi="Times New Roman" w:cs="Times New Roman"/>
          <w:sz w:val="20"/>
          <w:szCs w:val="20"/>
        </w:rPr>
        <w:t xml:space="preserve"> Discussion of push for renewable energy vs energy efficiency.</w:t>
      </w:r>
    </w:p>
    <w:p w:rsidR="00ED0231" w:rsidRPr="00ED0231" w:rsidRDefault="00ED0231" w:rsidP="00ED0231">
      <w:pPr>
        <w:widowControl/>
        <w:numPr>
          <w:ilvl w:val="0"/>
          <w:numId w:val="1"/>
        </w:numPr>
        <w:tabs>
          <w:tab w:val="clear" w:pos="2721"/>
        </w:tabs>
        <w:spacing w:afterLines="20" w:after="48" w:line="240" w:lineRule="auto"/>
        <w:ind w:left="360" w:hanging="360"/>
        <w:rPr>
          <w:rFonts w:ascii="Times New Roman" w:hAnsi="Times New Roman" w:cs="Times New Roman"/>
          <w:b/>
          <w:sz w:val="20"/>
          <w:szCs w:val="20"/>
        </w:rPr>
      </w:pPr>
      <w:r w:rsidRPr="00ED0231">
        <w:rPr>
          <w:rFonts w:ascii="Times New Roman" w:hAnsi="Times New Roman" w:cs="Times New Roman"/>
          <w:b/>
          <w:sz w:val="20"/>
          <w:szCs w:val="20"/>
        </w:rPr>
        <w:t>Energy Monitoring and Energy Audits</w:t>
      </w:r>
    </w:p>
    <w:p w:rsidR="00ED0231" w:rsidRPr="00ED0231" w:rsidRDefault="00ED0231" w:rsidP="00ED0231">
      <w:pPr>
        <w:pStyle w:val="msolistparagraph0"/>
        <w:numPr>
          <w:ilvl w:val="1"/>
          <w:numId w:val="1"/>
        </w:numPr>
        <w:tabs>
          <w:tab w:val="clear" w:pos="3081"/>
          <w:tab w:val="num" w:pos="1440"/>
        </w:tabs>
        <w:spacing w:afterLines="20" w:after="48"/>
        <w:ind w:left="1440"/>
        <w:rPr>
          <w:rFonts w:ascii="Times New Roman" w:hAnsi="Times New Roman"/>
          <w:sz w:val="20"/>
          <w:szCs w:val="20"/>
        </w:rPr>
      </w:pPr>
      <w:r w:rsidRPr="00ED0231">
        <w:rPr>
          <w:rFonts w:ascii="Times New Roman" w:hAnsi="Times New Roman"/>
          <w:sz w:val="20"/>
          <w:szCs w:val="20"/>
        </w:rPr>
        <w:t>New Initiatives or updates?</w:t>
      </w:r>
    </w:p>
    <w:p w:rsidR="00ED0231" w:rsidRPr="00ED0231" w:rsidRDefault="00ED0231" w:rsidP="00ED0231">
      <w:pPr>
        <w:widowControl/>
        <w:numPr>
          <w:ilvl w:val="0"/>
          <w:numId w:val="1"/>
        </w:numPr>
        <w:tabs>
          <w:tab w:val="clear" w:pos="2721"/>
          <w:tab w:val="num" w:pos="360"/>
        </w:tabs>
        <w:spacing w:afterLines="20" w:after="48" w:line="240" w:lineRule="auto"/>
        <w:ind w:left="360" w:hanging="360"/>
        <w:rPr>
          <w:rFonts w:ascii="Times New Roman" w:hAnsi="Times New Roman" w:cs="Times New Roman"/>
          <w:b/>
          <w:sz w:val="20"/>
          <w:szCs w:val="20"/>
        </w:rPr>
      </w:pPr>
      <w:r w:rsidRPr="00ED0231">
        <w:rPr>
          <w:rFonts w:ascii="Times New Roman" w:hAnsi="Times New Roman" w:cs="Times New Roman"/>
          <w:b/>
          <w:sz w:val="20"/>
          <w:szCs w:val="20"/>
        </w:rPr>
        <w:t>Energy Performance Databases</w:t>
      </w:r>
    </w:p>
    <w:p w:rsidR="00ED0231" w:rsidRPr="00ED0231" w:rsidRDefault="00ED0231" w:rsidP="00ED0231">
      <w:pPr>
        <w:widowControl/>
        <w:numPr>
          <w:ilvl w:val="1"/>
          <w:numId w:val="1"/>
        </w:numPr>
        <w:tabs>
          <w:tab w:val="clear" w:pos="3081"/>
          <w:tab w:val="num" w:pos="1440"/>
        </w:tabs>
        <w:spacing w:afterLines="20" w:after="48" w:line="240" w:lineRule="auto"/>
        <w:ind w:left="1440"/>
        <w:rPr>
          <w:rFonts w:ascii="Times New Roman" w:hAnsi="Times New Roman" w:cs="Times New Roman"/>
          <w:color w:val="000000"/>
        </w:rPr>
      </w:pPr>
      <w:r w:rsidRPr="00ED0231">
        <w:rPr>
          <w:rFonts w:ascii="Times New Roman" w:hAnsi="Times New Roman" w:cs="Times New Roman"/>
          <w:sz w:val="20"/>
          <w:szCs w:val="20"/>
        </w:rPr>
        <w:t xml:space="preserve">DASH – Bruce </w:t>
      </w:r>
      <w:proofErr w:type="spellStart"/>
      <w:r w:rsidRPr="00ED0231">
        <w:rPr>
          <w:rFonts w:ascii="Times New Roman" w:hAnsi="Times New Roman" w:cs="Times New Roman"/>
          <w:sz w:val="20"/>
          <w:szCs w:val="20"/>
        </w:rPr>
        <w:t>Hunn</w:t>
      </w:r>
      <w:proofErr w:type="spellEnd"/>
      <w:r w:rsidRPr="00ED0231">
        <w:rPr>
          <w:rFonts w:ascii="Times New Roman" w:hAnsi="Times New Roman" w:cs="Times New Roman"/>
          <w:sz w:val="20"/>
          <w:szCs w:val="20"/>
        </w:rPr>
        <w:t xml:space="preserve"> </w:t>
      </w:r>
      <w:r w:rsidR="006972AE">
        <w:rPr>
          <w:rFonts w:ascii="Times New Roman" w:hAnsi="Times New Roman" w:cs="Times New Roman"/>
          <w:sz w:val="20"/>
          <w:szCs w:val="20"/>
        </w:rPr>
        <w:t>– transitioned to TC 7.9</w:t>
      </w:r>
    </w:p>
    <w:p w:rsidR="00ED0231" w:rsidRPr="00ED0231" w:rsidRDefault="00ED0231" w:rsidP="00ED0231">
      <w:pPr>
        <w:widowControl/>
        <w:numPr>
          <w:ilvl w:val="1"/>
          <w:numId w:val="1"/>
        </w:numPr>
        <w:tabs>
          <w:tab w:val="clear" w:pos="3081"/>
          <w:tab w:val="num" w:pos="1440"/>
        </w:tabs>
        <w:spacing w:afterLines="20" w:after="48" w:line="240" w:lineRule="auto"/>
        <w:ind w:left="1440"/>
        <w:rPr>
          <w:rFonts w:ascii="Times New Roman" w:hAnsi="Times New Roman" w:cs="Times New Roman"/>
          <w:b/>
          <w:color w:val="000000"/>
          <w:sz w:val="20"/>
          <w:szCs w:val="20"/>
        </w:rPr>
      </w:pPr>
      <w:r w:rsidRPr="00ED0231">
        <w:rPr>
          <w:rFonts w:ascii="Times New Roman" w:hAnsi="Times New Roman" w:cs="Times New Roman"/>
          <w:sz w:val="20"/>
          <w:szCs w:val="20"/>
        </w:rPr>
        <w:t xml:space="preserve">BEDES has been implemented </w:t>
      </w:r>
      <w:hyperlink r:id="rId15" w:history="1">
        <w:r w:rsidRPr="00ED0231">
          <w:rPr>
            <w:rStyle w:val="Hyperlink"/>
            <w:rFonts w:ascii="Times New Roman" w:hAnsi="Times New Roman" w:cs="Times New Roman"/>
            <w:sz w:val="20"/>
            <w:szCs w:val="20"/>
          </w:rPr>
          <w:t>http://energy.gov/eere/buildings/building-energy-data-exchange-specification-bedes</w:t>
        </w:r>
      </w:hyperlink>
      <w:r w:rsidRPr="00ED0231">
        <w:rPr>
          <w:rFonts w:ascii="Times New Roman" w:hAnsi="Times New Roman" w:cs="Times New Roman"/>
          <w:sz w:val="20"/>
          <w:szCs w:val="20"/>
        </w:rPr>
        <w:t xml:space="preserve"> </w:t>
      </w:r>
    </w:p>
    <w:p w:rsidR="00ED0231" w:rsidRPr="00ED0231" w:rsidRDefault="00ED0231" w:rsidP="00ED0231">
      <w:pPr>
        <w:widowControl/>
        <w:numPr>
          <w:ilvl w:val="0"/>
          <w:numId w:val="1"/>
        </w:numPr>
        <w:tabs>
          <w:tab w:val="clear" w:pos="2721"/>
        </w:tabs>
        <w:spacing w:afterLines="20" w:after="48" w:line="240" w:lineRule="auto"/>
        <w:ind w:left="360" w:hanging="360"/>
        <w:rPr>
          <w:rFonts w:ascii="Times New Roman" w:hAnsi="Times New Roman" w:cs="Times New Roman"/>
          <w:b/>
          <w:color w:val="000000"/>
          <w:sz w:val="20"/>
          <w:szCs w:val="20"/>
        </w:rPr>
      </w:pPr>
      <w:r w:rsidRPr="00ED0231">
        <w:rPr>
          <w:rFonts w:ascii="Times New Roman" w:hAnsi="Times New Roman" w:cs="Times New Roman"/>
          <w:b/>
          <w:sz w:val="20"/>
          <w:szCs w:val="20"/>
        </w:rPr>
        <w:t>EUI Task Group</w:t>
      </w:r>
      <w:r w:rsidRPr="00ED0231">
        <w:rPr>
          <w:rFonts w:ascii="Times New Roman" w:hAnsi="Times New Roman" w:cs="Times New Roman"/>
          <w:b/>
          <w:sz w:val="20"/>
          <w:szCs w:val="20"/>
        </w:rPr>
        <w:tab/>
      </w:r>
    </w:p>
    <w:p w:rsidR="00ED0231" w:rsidRPr="00ED0231" w:rsidRDefault="00ED0231" w:rsidP="00ED0231">
      <w:pPr>
        <w:widowControl/>
        <w:numPr>
          <w:ilvl w:val="1"/>
          <w:numId w:val="1"/>
        </w:numPr>
        <w:tabs>
          <w:tab w:val="clear" w:pos="3081"/>
          <w:tab w:val="num" w:pos="1440"/>
        </w:tabs>
        <w:spacing w:afterLines="20" w:after="48" w:line="240" w:lineRule="auto"/>
        <w:ind w:left="1440"/>
        <w:rPr>
          <w:rFonts w:ascii="Times New Roman" w:hAnsi="Times New Roman" w:cs="Times New Roman"/>
          <w:color w:val="000000"/>
          <w:sz w:val="20"/>
          <w:szCs w:val="20"/>
        </w:rPr>
      </w:pPr>
      <w:r w:rsidRPr="00ED0231">
        <w:rPr>
          <w:rFonts w:ascii="Times New Roman" w:hAnsi="Times New Roman" w:cs="Times New Roman"/>
          <w:color w:val="000000"/>
          <w:sz w:val="20"/>
          <w:szCs w:val="20"/>
        </w:rPr>
        <w:t>Has become Working Group 5 under SSPC 100 – meeting Sunday 12PM-2:00PM</w:t>
      </w:r>
    </w:p>
    <w:p w:rsidR="00ED0231" w:rsidRPr="00ED0231" w:rsidRDefault="00ED0231" w:rsidP="00ED0231">
      <w:pPr>
        <w:widowControl/>
        <w:numPr>
          <w:ilvl w:val="1"/>
          <w:numId w:val="1"/>
        </w:numPr>
        <w:tabs>
          <w:tab w:val="clear" w:pos="3081"/>
          <w:tab w:val="num" w:pos="1440"/>
        </w:tabs>
        <w:spacing w:afterLines="20" w:after="48" w:line="240" w:lineRule="auto"/>
        <w:ind w:left="1440"/>
        <w:rPr>
          <w:rFonts w:ascii="Times New Roman" w:hAnsi="Times New Roman" w:cs="Times New Roman"/>
          <w:color w:val="000000"/>
          <w:sz w:val="20"/>
          <w:szCs w:val="20"/>
        </w:rPr>
      </w:pPr>
      <w:r w:rsidRPr="00ED0231">
        <w:rPr>
          <w:rFonts w:ascii="Times New Roman" w:hAnsi="Times New Roman" w:cs="Times New Roman"/>
          <w:color w:val="000000"/>
          <w:sz w:val="20"/>
          <w:szCs w:val="20"/>
        </w:rPr>
        <w:t>Two charges – stacked approaches for multi-use buildings and alternate expressions of EUI</w:t>
      </w:r>
    </w:p>
    <w:p w:rsidR="00ED0231" w:rsidRPr="00ED0231" w:rsidRDefault="00ED0231" w:rsidP="00ED0231">
      <w:pPr>
        <w:widowControl/>
        <w:numPr>
          <w:ilvl w:val="1"/>
          <w:numId w:val="1"/>
        </w:numPr>
        <w:tabs>
          <w:tab w:val="clear" w:pos="3081"/>
          <w:tab w:val="num" w:pos="1440"/>
        </w:tabs>
        <w:spacing w:afterLines="20" w:after="48" w:line="240" w:lineRule="auto"/>
        <w:ind w:left="1440"/>
        <w:rPr>
          <w:rFonts w:ascii="Times New Roman" w:hAnsi="Times New Roman" w:cs="Times New Roman"/>
          <w:color w:val="000000"/>
          <w:sz w:val="20"/>
          <w:szCs w:val="20"/>
        </w:rPr>
      </w:pPr>
      <w:r w:rsidRPr="00ED0231">
        <w:rPr>
          <w:rFonts w:ascii="Times New Roman" w:hAnsi="Times New Roman" w:cs="Times New Roman"/>
          <w:color w:val="000000"/>
          <w:sz w:val="20"/>
          <w:szCs w:val="20"/>
        </w:rPr>
        <w:t xml:space="preserve">Issue - Should we change the TPS of Standard 100 from energy efficiency to energy performance? Is Energy/sf the best metric? </w:t>
      </w:r>
    </w:p>
    <w:p w:rsidR="006972AE" w:rsidRPr="006972AE" w:rsidRDefault="00ED0231" w:rsidP="006972AE">
      <w:pPr>
        <w:widowControl/>
        <w:numPr>
          <w:ilvl w:val="1"/>
          <w:numId w:val="1"/>
        </w:numPr>
        <w:tabs>
          <w:tab w:val="clear" w:pos="3081"/>
          <w:tab w:val="num" w:pos="1440"/>
        </w:tabs>
        <w:spacing w:afterLines="20" w:after="48" w:line="240" w:lineRule="auto"/>
        <w:ind w:left="1440"/>
        <w:rPr>
          <w:rFonts w:ascii="Times New Roman" w:hAnsi="Times New Roman" w:cs="Times New Roman"/>
          <w:color w:val="000000"/>
          <w:sz w:val="20"/>
          <w:szCs w:val="20"/>
        </w:rPr>
      </w:pPr>
      <w:r w:rsidRPr="00ED0231">
        <w:rPr>
          <w:rFonts w:ascii="Times New Roman" w:hAnsi="Times New Roman" w:cs="Times New Roman"/>
          <w:color w:val="000000"/>
          <w:sz w:val="20"/>
          <w:szCs w:val="20"/>
        </w:rPr>
        <w:t>What about standard reporting? Carbon reduction goals exclusive of energy goals obscure what is happening, so some type of requirement on energy reporting is needed to assure that energy reduction goals or requirements are always specified in energy units, and carbon goals cannot imply energy reductions are needed unless specific energy goals are included with any carbon goals</w:t>
      </w:r>
      <w:r w:rsidR="006972AE">
        <w:rPr>
          <w:rFonts w:ascii="Times New Roman" w:hAnsi="Times New Roman" w:cs="Times New Roman"/>
          <w:color w:val="000000"/>
          <w:sz w:val="20"/>
          <w:szCs w:val="20"/>
        </w:rPr>
        <w:t>.</w:t>
      </w:r>
    </w:p>
    <w:p w:rsidR="00ED0231" w:rsidRPr="006972AE" w:rsidRDefault="006972AE" w:rsidP="00ED0231">
      <w:pPr>
        <w:spacing w:afterLines="20" w:after="48"/>
        <w:ind w:left="1080"/>
        <w:rPr>
          <w:rFonts w:ascii="Times New Roman" w:hAnsi="Times New Roman" w:cs="Times New Roman"/>
          <w:color w:val="000000"/>
          <w:sz w:val="20"/>
          <w:szCs w:val="20"/>
        </w:rPr>
      </w:pPr>
      <w:proofErr w:type="gramStart"/>
      <w:r w:rsidRPr="006972AE">
        <w:rPr>
          <w:rFonts w:ascii="Times New Roman" w:hAnsi="Times New Roman" w:cs="Times New Roman"/>
          <w:color w:val="000000"/>
          <w:sz w:val="20"/>
          <w:szCs w:val="20"/>
        </w:rPr>
        <w:t>Discussion</w:t>
      </w:r>
      <w:r>
        <w:rPr>
          <w:rFonts w:ascii="Times New Roman" w:hAnsi="Times New Roman" w:cs="Times New Roman"/>
          <w:color w:val="000000"/>
          <w:sz w:val="20"/>
          <w:szCs w:val="20"/>
        </w:rPr>
        <w:t xml:space="preserve"> of building data bases.</w:t>
      </w:r>
      <w:proofErr w:type="gramEnd"/>
      <w:r w:rsidR="00140C62">
        <w:rPr>
          <w:rFonts w:ascii="Times New Roman" w:hAnsi="Times New Roman" w:cs="Times New Roman"/>
          <w:color w:val="000000"/>
          <w:sz w:val="20"/>
          <w:szCs w:val="20"/>
        </w:rPr>
        <w:t xml:space="preserve">  </w:t>
      </w:r>
      <w:proofErr w:type="spellStart"/>
      <w:proofErr w:type="gramStart"/>
      <w:r w:rsidR="00140C62">
        <w:rPr>
          <w:rFonts w:ascii="Times New Roman" w:hAnsi="Times New Roman" w:cs="Times New Roman"/>
          <w:color w:val="000000"/>
          <w:sz w:val="20"/>
          <w:szCs w:val="20"/>
        </w:rPr>
        <w:t>Eg</w:t>
      </w:r>
      <w:proofErr w:type="spellEnd"/>
      <w:r w:rsidR="00140C62">
        <w:rPr>
          <w:rFonts w:ascii="Times New Roman" w:hAnsi="Times New Roman" w:cs="Times New Roman"/>
          <w:color w:val="000000"/>
          <w:sz w:val="20"/>
          <w:szCs w:val="20"/>
        </w:rPr>
        <w:t>.</w:t>
      </w:r>
      <w:proofErr w:type="gramEnd"/>
      <w:r w:rsidR="00140C62">
        <w:rPr>
          <w:rFonts w:ascii="Times New Roman" w:hAnsi="Times New Roman" w:cs="Times New Roman"/>
          <w:color w:val="000000"/>
          <w:sz w:val="20"/>
          <w:szCs w:val="20"/>
        </w:rPr>
        <w:t xml:space="preserve"> SEED Partners – 10 cities, individual </w:t>
      </w:r>
      <w:proofErr w:type="spellStart"/>
      <w:r w:rsidR="00140C62">
        <w:rPr>
          <w:rFonts w:ascii="Times New Roman" w:hAnsi="Times New Roman" w:cs="Times New Roman"/>
          <w:color w:val="000000"/>
          <w:sz w:val="20"/>
          <w:szCs w:val="20"/>
        </w:rPr>
        <w:t>cities</w:t>
      </w:r>
      <w:proofErr w:type="gramStart"/>
      <w:r w:rsidR="00140C62">
        <w:rPr>
          <w:rFonts w:ascii="Times New Roman" w:hAnsi="Times New Roman" w:cs="Times New Roman"/>
          <w:color w:val="000000"/>
          <w:sz w:val="20"/>
          <w:szCs w:val="20"/>
        </w:rPr>
        <w:t>,Portfolio</w:t>
      </w:r>
      <w:proofErr w:type="spellEnd"/>
      <w:proofErr w:type="gramEnd"/>
      <w:r w:rsidR="00140C62">
        <w:rPr>
          <w:rFonts w:ascii="Times New Roman" w:hAnsi="Times New Roman" w:cs="Times New Roman"/>
          <w:color w:val="000000"/>
          <w:sz w:val="20"/>
          <w:szCs w:val="20"/>
        </w:rPr>
        <w:t xml:space="preserve"> Manager.</w:t>
      </w:r>
      <w:r>
        <w:rPr>
          <w:rFonts w:ascii="Times New Roman" w:hAnsi="Times New Roman" w:cs="Times New Roman"/>
          <w:color w:val="000000"/>
          <w:sz w:val="20"/>
          <w:szCs w:val="20"/>
        </w:rPr>
        <w:t xml:space="preserve"> </w:t>
      </w:r>
      <w:proofErr w:type="gramStart"/>
      <w:r>
        <w:rPr>
          <w:rFonts w:ascii="Times New Roman" w:hAnsi="Times New Roman" w:cs="Times New Roman"/>
          <w:color w:val="000000"/>
          <w:sz w:val="20"/>
          <w:szCs w:val="20"/>
        </w:rPr>
        <w:t>Discussed seminar on building data bases.</w:t>
      </w:r>
      <w:proofErr w:type="gramEnd"/>
      <w:r>
        <w:rPr>
          <w:rFonts w:ascii="Times New Roman" w:hAnsi="Times New Roman" w:cs="Times New Roman"/>
          <w:color w:val="000000"/>
          <w:sz w:val="20"/>
          <w:szCs w:val="20"/>
        </w:rPr>
        <w:t xml:space="preserve"> Cities and counties collecting data on large b</w:t>
      </w:r>
      <w:r w:rsidR="00140C62">
        <w:rPr>
          <w:rFonts w:ascii="Times New Roman" w:hAnsi="Times New Roman" w:cs="Times New Roman"/>
          <w:color w:val="000000"/>
          <w:sz w:val="20"/>
          <w:szCs w:val="20"/>
        </w:rPr>
        <w:t>uildings</w:t>
      </w:r>
      <w:r>
        <w:rPr>
          <w:rFonts w:ascii="Times New Roman" w:hAnsi="Times New Roman" w:cs="Times New Roman"/>
          <w:color w:val="000000"/>
          <w:sz w:val="20"/>
          <w:szCs w:val="20"/>
        </w:rPr>
        <w:t xml:space="preserve"> can be found at </w:t>
      </w:r>
      <w:hyperlink r:id="rId16" w:history="1">
        <w:r w:rsidRPr="009C5ED7">
          <w:rPr>
            <w:rStyle w:val="Hyperlink"/>
            <w:rFonts w:ascii="Times New Roman" w:hAnsi="Times New Roman" w:cs="Times New Roman"/>
            <w:sz w:val="20"/>
            <w:szCs w:val="20"/>
          </w:rPr>
          <w:t>www.IMT.org</w:t>
        </w:r>
      </w:hyperlink>
      <w:r>
        <w:rPr>
          <w:rFonts w:ascii="Times New Roman" w:hAnsi="Times New Roman" w:cs="Times New Roman"/>
          <w:color w:val="000000"/>
          <w:sz w:val="20"/>
          <w:szCs w:val="20"/>
        </w:rPr>
        <w:t xml:space="preserve">   </w:t>
      </w:r>
    </w:p>
    <w:p w:rsidR="00ED0231" w:rsidRPr="00ED0231" w:rsidRDefault="00ED0231" w:rsidP="00ED0231">
      <w:pPr>
        <w:widowControl/>
        <w:numPr>
          <w:ilvl w:val="0"/>
          <w:numId w:val="1"/>
        </w:numPr>
        <w:tabs>
          <w:tab w:val="clear" w:pos="2721"/>
        </w:tabs>
        <w:spacing w:afterLines="20" w:after="48" w:line="240" w:lineRule="auto"/>
        <w:ind w:left="450" w:hanging="450"/>
        <w:rPr>
          <w:rFonts w:ascii="Times New Roman" w:hAnsi="Times New Roman" w:cs="Times New Roman"/>
          <w:color w:val="000000"/>
          <w:sz w:val="20"/>
          <w:szCs w:val="20"/>
        </w:rPr>
      </w:pPr>
      <w:r w:rsidRPr="00ED0231">
        <w:rPr>
          <w:rFonts w:ascii="Times New Roman" w:hAnsi="Times New Roman" w:cs="Times New Roman"/>
          <w:b/>
          <w:sz w:val="20"/>
          <w:szCs w:val="20"/>
        </w:rPr>
        <w:t>Should Standard 90.1 move toward a performance based approach?</w:t>
      </w:r>
    </w:p>
    <w:p w:rsidR="00ED0231" w:rsidRPr="00ED0231" w:rsidRDefault="00ED0231" w:rsidP="00ED0231">
      <w:pPr>
        <w:widowControl/>
        <w:numPr>
          <w:ilvl w:val="1"/>
          <w:numId w:val="1"/>
        </w:numPr>
        <w:tabs>
          <w:tab w:val="clear" w:pos="3081"/>
          <w:tab w:val="num" w:pos="1440"/>
        </w:tabs>
        <w:spacing w:afterLines="20" w:after="48" w:line="240" w:lineRule="auto"/>
        <w:ind w:left="1440"/>
        <w:rPr>
          <w:rFonts w:ascii="Times New Roman" w:hAnsi="Times New Roman" w:cs="Times New Roman"/>
          <w:color w:val="000000"/>
          <w:sz w:val="20"/>
          <w:szCs w:val="20"/>
        </w:rPr>
      </w:pPr>
      <w:r w:rsidRPr="00ED0231">
        <w:rPr>
          <w:rFonts w:ascii="Times New Roman" w:hAnsi="Times New Roman" w:cs="Times New Roman"/>
          <w:sz w:val="20"/>
          <w:szCs w:val="20"/>
        </w:rPr>
        <w:t>Discussion</w:t>
      </w:r>
      <w:r w:rsidRPr="00ED0231">
        <w:rPr>
          <w:rFonts w:ascii="Times New Roman" w:hAnsi="Times New Roman" w:cs="Times New Roman"/>
          <w:sz w:val="20"/>
          <w:szCs w:val="20"/>
        </w:rPr>
        <w:t>- Is Zero Energy encouraging urban sprawl – 2016 ACEEE session on this issue</w:t>
      </w:r>
      <w:r w:rsidR="00140C62">
        <w:rPr>
          <w:rFonts w:ascii="Times New Roman" w:hAnsi="Times New Roman" w:cs="Times New Roman"/>
          <w:sz w:val="20"/>
          <w:szCs w:val="20"/>
        </w:rPr>
        <w:t xml:space="preserve"> (locational efficiency)</w:t>
      </w:r>
    </w:p>
    <w:p w:rsidR="00ED0231" w:rsidRPr="00ED0231" w:rsidRDefault="00ED0231" w:rsidP="00ED0231">
      <w:pPr>
        <w:spacing w:afterLines="20" w:after="48"/>
        <w:ind w:left="1080"/>
        <w:rPr>
          <w:rFonts w:ascii="Times New Roman" w:hAnsi="Times New Roman" w:cs="Times New Roman"/>
          <w:color w:val="000000"/>
          <w:sz w:val="20"/>
          <w:szCs w:val="20"/>
        </w:rPr>
      </w:pPr>
    </w:p>
    <w:p w:rsidR="00ED0231" w:rsidRPr="00ED0231" w:rsidRDefault="00ED0231" w:rsidP="00ED0231">
      <w:pPr>
        <w:jc w:val="both"/>
        <w:rPr>
          <w:rFonts w:ascii="Times New Roman" w:hAnsi="Times New Roman" w:cs="Times New Roman"/>
          <w:b/>
          <w:iCs/>
          <w:sz w:val="20"/>
          <w:szCs w:val="20"/>
        </w:rPr>
      </w:pPr>
      <w:r w:rsidRPr="00ED0231">
        <w:rPr>
          <w:rFonts w:ascii="Times New Roman" w:hAnsi="Times New Roman" w:cs="Times New Roman"/>
          <w:b/>
          <w:iCs/>
          <w:sz w:val="20"/>
          <w:szCs w:val="20"/>
        </w:rPr>
        <w:t>ASHRAE Sessions of Interest</w:t>
      </w:r>
    </w:p>
    <w:p w:rsidR="00ED0231" w:rsidRPr="00ED0231" w:rsidRDefault="00ED0231" w:rsidP="00ED0231">
      <w:pPr>
        <w:autoSpaceDE w:val="0"/>
        <w:autoSpaceDN w:val="0"/>
        <w:ind w:left="360"/>
        <w:rPr>
          <w:rFonts w:ascii="Times New Roman" w:hAnsi="Times New Roman" w:cs="Times New Roman"/>
          <w:b/>
          <w:bCs/>
          <w:sz w:val="20"/>
          <w:szCs w:val="20"/>
        </w:rPr>
      </w:pPr>
      <w:r w:rsidRPr="00ED0231">
        <w:rPr>
          <w:rFonts w:ascii="Times New Roman" w:hAnsi="Times New Roman" w:cs="Times New Roman"/>
          <w:sz w:val="20"/>
          <w:szCs w:val="20"/>
        </w:rPr>
        <w:t xml:space="preserve">Sunday, 8:00 AM-9:00 AM </w:t>
      </w:r>
      <w:r w:rsidRPr="00ED0231">
        <w:rPr>
          <w:rFonts w:ascii="Times New Roman" w:hAnsi="Times New Roman" w:cs="Times New Roman"/>
          <w:b/>
          <w:bCs/>
          <w:sz w:val="20"/>
          <w:szCs w:val="20"/>
        </w:rPr>
        <w:t>Conference Paper Session 1</w:t>
      </w:r>
    </w:p>
    <w:p w:rsidR="00ED0231" w:rsidRPr="00ED0231" w:rsidRDefault="00ED0231" w:rsidP="00ED0231">
      <w:pPr>
        <w:autoSpaceDE w:val="0"/>
        <w:autoSpaceDN w:val="0"/>
        <w:ind w:left="360"/>
        <w:rPr>
          <w:rFonts w:ascii="Times New Roman" w:hAnsi="Times New Roman" w:cs="Times New Roman"/>
          <w:b/>
          <w:bCs/>
          <w:color w:val="221E1F"/>
          <w:sz w:val="20"/>
          <w:szCs w:val="20"/>
        </w:rPr>
      </w:pPr>
      <w:r w:rsidRPr="00ED0231">
        <w:rPr>
          <w:rFonts w:ascii="Times New Roman" w:hAnsi="Times New Roman" w:cs="Times New Roman"/>
          <w:b/>
          <w:bCs/>
          <w:color w:val="221E1F"/>
          <w:sz w:val="20"/>
          <w:szCs w:val="20"/>
        </w:rPr>
        <w:t xml:space="preserve">Indoor Air Quality and Energy Efficiency: Measurement and Analysis of Multiple Approaches </w:t>
      </w:r>
    </w:p>
    <w:p w:rsidR="00ED0231" w:rsidRPr="00ED0231" w:rsidRDefault="00ED0231" w:rsidP="00ED0231">
      <w:pPr>
        <w:autoSpaceDE w:val="0"/>
        <w:autoSpaceDN w:val="0"/>
        <w:ind w:left="360"/>
        <w:rPr>
          <w:rFonts w:ascii="Times New Roman" w:hAnsi="Times New Roman" w:cs="Times New Roman"/>
          <w:b/>
          <w:bCs/>
          <w:sz w:val="20"/>
          <w:szCs w:val="20"/>
        </w:rPr>
      </w:pPr>
      <w:r w:rsidRPr="00ED0231">
        <w:rPr>
          <w:rFonts w:ascii="Times New Roman" w:hAnsi="Times New Roman" w:cs="Times New Roman"/>
          <w:sz w:val="20"/>
          <w:szCs w:val="20"/>
        </w:rPr>
        <w:t xml:space="preserve">Sunday, 9:45 AM-10:45 PM </w:t>
      </w:r>
      <w:r w:rsidRPr="00ED0231">
        <w:rPr>
          <w:rFonts w:ascii="Times New Roman" w:hAnsi="Times New Roman" w:cs="Times New Roman"/>
          <w:b/>
          <w:bCs/>
          <w:sz w:val="20"/>
          <w:szCs w:val="20"/>
        </w:rPr>
        <w:t>Seminar 7</w:t>
      </w:r>
    </w:p>
    <w:p w:rsidR="00ED0231" w:rsidRPr="00ED0231" w:rsidRDefault="00ED0231" w:rsidP="00ED0231">
      <w:pPr>
        <w:autoSpaceDE w:val="0"/>
        <w:autoSpaceDN w:val="0"/>
        <w:ind w:left="360"/>
        <w:rPr>
          <w:rFonts w:ascii="Times New Roman" w:hAnsi="Times New Roman" w:cs="Times New Roman"/>
          <w:b/>
          <w:bCs/>
          <w:color w:val="221E1F"/>
          <w:sz w:val="20"/>
          <w:szCs w:val="20"/>
        </w:rPr>
      </w:pPr>
      <w:r w:rsidRPr="00ED0231">
        <w:rPr>
          <w:rFonts w:ascii="Times New Roman" w:hAnsi="Times New Roman" w:cs="Times New Roman"/>
          <w:b/>
          <w:bCs/>
          <w:color w:val="221E1F"/>
          <w:sz w:val="20"/>
          <w:szCs w:val="20"/>
        </w:rPr>
        <w:t xml:space="preserve">Energy </w:t>
      </w:r>
      <w:proofErr w:type="spellStart"/>
      <w:r w:rsidRPr="00ED0231">
        <w:rPr>
          <w:rFonts w:ascii="Times New Roman" w:hAnsi="Times New Roman" w:cs="Times New Roman"/>
          <w:b/>
          <w:bCs/>
          <w:color w:val="221E1F"/>
          <w:sz w:val="20"/>
          <w:szCs w:val="20"/>
        </w:rPr>
        <w:t>Submetering</w:t>
      </w:r>
      <w:proofErr w:type="spellEnd"/>
      <w:r w:rsidRPr="00ED0231">
        <w:rPr>
          <w:rFonts w:ascii="Times New Roman" w:hAnsi="Times New Roman" w:cs="Times New Roman"/>
          <w:b/>
          <w:bCs/>
          <w:color w:val="221E1F"/>
          <w:sz w:val="20"/>
          <w:szCs w:val="20"/>
        </w:rPr>
        <w:t xml:space="preserve"> Fundamentals: Benchmarking, Baselining and Beyond!</w:t>
      </w:r>
    </w:p>
    <w:p w:rsidR="00ED0231" w:rsidRPr="00ED0231" w:rsidRDefault="00ED0231" w:rsidP="00ED0231">
      <w:pPr>
        <w:autoSpaceDE w:val="0"/>
        <w:autoSpaceDN w:val="0"/>
        <w:ind w:left="360"/>
        <w:rPr>
          <w:rFonts w:ascii="Times New Roman" w:hAnsi="Times New Roman" w:cs="Times New Roman"/>
          <w:b/>
          <w:bCs/>
          <w:sz w:val="20"/>
          <w:szCs w:val="20"/>
        </w:rPr>
      </w:pPr>
      <w:r w:rsidRPr="00ED0231">
        <w:rPr>
          <w:rFonts w:ascii="Times New Roman" w:hAnsi="Times New Roman" w:cs="Times New Roman"/>
          <w:sz w:val="20"/>
          <w:szCs w:val="20"/>
        </w:rPr>
        <w:t xml:space="preserve">Sunday, 1:30 PM-3:00 PM </w:t>
      </w:r>
      <w:r w:rsidRPr="00ED0231">
        <w:rPr>
          <w:rFonts w:ascii="Times New Roman" w:hAnsi="Times New Roman" w:cs="Times New Roman"/>
          <w:b/>
          <w:bCs/>
          <w:sz w:val="20"/>
          <w:szCs w:val="20"/>
        </w:rPr>
        <w:t>Technical Paper Session 2</w:t>
      </w:r>
    </w:p>
    <w:p w:rsidR="00ED0231" w:rsidRPr="00ED0231" w:rsidRDefault="00ED0231" w:rsidP="00ED0231">
      <w:pPr>
        <w:pStyle w:val="msolistparagraph0"/>
        <w:ind w:left="360"/>
        <w:rPr>
          <w:rFonts w:ascii="Times New Roman" w:hAnsi="Times New Roman"/>
          <w:b/>
          <w:bCs/>
          <w:sz w:val="20"/>
          <w:szCs w:val="20"/>
        </w:rPr>
      </w:pPr>
      <w:r w:rsidRPr="00ED0231">
        <w:rPr>
          <w:rFonts w:ascii="Times New Roman" w:hAnsi="Times New Roman"/>
          <w:b/>
          <w:bCs/>
          <w:sz w:val="20"/>
          <w:szCs w:val="20"/>
        </w:rPr>
        <w:t>IEA Annex 61 Deep Energy Retrofit, Part 1: International Energy Efficiency</w:t>
      </w:r>
    </w:p>
    <w:p w:rsidR="00ED0231" w:rsidRPr="00ED0231" w:rsidRDefault="00ED0231" w:rsidP="00ED0231">
      <w:pPr>
        <w:pStyle w:val="msolistparagraph0"/>
        <w:ind w:left="360"/>
        <w:rPr>
          <w:rFonts w:ascii="Times New Roman" w:hAnsi="Times New Roman"/>
          <w:sz w:val="20"/>
          <w:szCs w:val="20"/>
        </w:rPr>
      </w:pPr>
    </w:p>
    <w:p w:rsidR="00ED0231" w:rsidRPr="00ED0231" w:rsidRDefault="00ED0231" w:rsidP="00ED0231">
      <w:pPr>
        <w:autoSpaceDE w:val="0"/>
        <w:autoSpaceDN w:val="0"/>
        <w:ind w:left="360"/>
        <w:rPr>
          <w:rFonts w:ascii="Times New Roman" w:hAnsi="Times New Roman" w:cs="Times New Roman"/>
          <w:b/>
          <w:bCs/>
          <w:sz w:val="20"/>
          <w:szCs w:val="20"/>
        </w:rPr>
      </w:pPr>
      <w:r w:rsidRPr="00ED0231">
        <w:rPr>
          <w:rFonts w:ascii="Times New Roman" w:hAnsi="Times New Roman" w:cs="Times New Roman"/>
          <w:sz w:val="20"/>
          <w:szCs w:val="20"/>
        </w:rPr>
        <w:t xml:space="preserve">Sunday, 1:30 AM-3:00 PM </w:t>
      </w:r>
      <w:r w:rsidRPr="00ED0231">
        <w:rPr>
          <w:rFonts w:ascii="Times New Roman" w:hAnsi="Times New Roman" w:cs="Times New Roman"/>
          <w:b/>
          <w:bCs/>
          <w:sz w:val="20"/>
          <w:szCs w:val="20"/>
        </w:rPr>
        <w:t>Seminar 17</w:t>
      </w:r>
    </w:p>
    <w:p w:rsidR="00ED0231" w:rsidRPr="00ED0231" w:rsidRDefault="00ED0231" w:rsidP="00ED0231">
      <w:pPr>
        <w:autoSpaceDE w:val="0"/>
        <w:autoSpaceDN w:val="0"/>
        <w:ind w:left="360"/>
        <w:rPr>
          <w:rFonts w:ascii="Times New Roman" w:hAnsi="Times New Roman" w:cs="Times New Roman"/>
          <w:b/>
          <w:bCs/>
          <w:sz w:val="20"/>
          <w:szCs w:val="20"/>
        </w:rPr>
      </w:pPr>
      <w:r w:rsidRPr="00ED0231">
        <w:rPr>
          <w:rFonts w:ascii="Times New Roman" w:hAnsi="Times New Roman" w:cs="Times New Roman"/>
          <w:b/>
          <w:bCs/>
          <w:sz w:val="20"/>
          <w:szCs w:val="20"/>
        </w:rPr>
        <w:t xml:space="preserve">Integrating ASHRAE Standard 189.1 and </w:t>
      </w:r>
      <w:proofErr w:type="spellStart"/>
      <w:r w:rsidRPr="00ED0231">
        <w:rPr>
          <w:rFonts w:ascii="Times New Roman" w:hAnsi="Times New Roman" w:cs="Times New Roman"/>
          <w:b/>
          <w:bCs/>
          <w:sz w:val="20"/>
          <w:szCs w:val="20"/>
        </w:rPr>
        <w:t>IgCC</w:t>
      </w:r>
      <w:proofErr w:type="spellEnd"/>
      <w:r w:rsidRPr="00ED0231">
        <w:rPr>
          <w:rFonts w:ascii="Times New Roman" w:hAnsi="Times New Roman" w:cs="Times New Roman"/>
          <w:b/>
          <w:bCs/>
          <w:sz w:val="20"/>
          <w:szCs w:val="20"/>
        </w:rPr>
        <w:t xml:space="preserve"> Compliance Requirements: Options and Issues</w:t>
      </w:r>
    </w:p>
    <w:p w:rsidR="00ED0231" w:rsidRPr="00ED0231" w:rsidRDefault="00ED0231" w:rsidP="00ED0231">
      <w:pPr>
        <w:autoSpaceDE w:val="0"/>
        <w:autoSpaceDN w:val="0"/>
        <w:ind w:left="360"/>
        <w:rPr>
          <w:rFonts w:ascii="Times New Roman" w:hAnsi="Times New Roman" w:cs="Times New Roman"/>
          <w:sz w:val="20"/>
          <w:szCs w:val="20"/>
        </w:rPr>
      </w:pPr>
    </w:p>
    <w:p w:rsidR="00ED0231" w:rsidRPr="00ED0231" w:rsidRDefault="00ED0231" w:rsidP="00ED0231">
      <w:pPr>
        <w:autoSpaceDE w:val="0"/>
        <w:autoSpaceDN w:val="0"/>
        <w:ind w:left="360"/>
        <w:rPr>
          <w:rFonts w:ascii="Times New Roman" w:hAnsi="Times New Roman" w:cs="Times New Roman"/>
          <w:b/>
          <w:bCs/>
          <w:sz w:val="20"/>
          <w:szCs w:val="20"/>
        </w:rPr>
      </w:pPr>
      <w:r w:rsidRPr="00ED0231">
        <w:rPr>
          <w:rFonts w:ascii="Times New Roman" w:hAnsi="Times New Roman" w:cs="Times New Roman"/>
          <w:sz w:val="20"/>
          <w:szCs w:val="20"/>
        </w:rPr>
        <w:t xml:space="preserve">Monday, 8:00 AM-9:30 AM </w:t>
      </w:r>
      <w:r w:rsidRPr="00ED0231">
        <w:rPr>
          <w:rFonts w:ascii="Times New Roman" w:hAnsi="Times New Roman" w:cs="Times New Roman"/>
          <w:b/>
          <w:bCs/>
          <w:sz w:val="20"/>
          <w:szCs w:val="20"/>
        </w:rPr>
        <w:t>Seminar 23</w:t>
      </w:r>
    </w:p>
    <w:p w:rsidR="00ED0231" w:rsidRPr="00ED0231" w:rsidRDefault="00ED0231" w:rsidP="00ED0231">
      <w:pPr>
        <w:autoSpaceDE w:val="0"/>
        <w:autoSpaceDN w:val="0"/>
        <w:adjustRightInd w:val="0"/>
        <w:ind w:firstLine="360"/>
        <w:rPr>
          <w:rFonts w:ascii="Times New Roman" w:hAnsi="Times New Roman" w:cs="Times New Roman"/>
          <w:b/>
          <w:bCs/>
          <w:sz w:val="20"/>
          <w:szCs w:val="20"/>
        </w:rPr>
      </w:pPr>
      <w:r w:rsidRPr="00ED0231">
        <w:rPr>
          <w:rFonts w:ascii="Times New Roman" w:hAnsi="Times New Roman" w:cs="Times New Roman"/>
          <w:b/>
          <w:bCs/>
          <w:sz w:val="20"/>
          <w:szCs w:val="20"/>
        </w:rPr>
        <w:t>Metrics Matter: How Should We Judge Energy Performance?</w:t>
      </w:r>
    </w:p>
    <w:p w:rsidR="00ED0231" w:rsidRPr="00ED0231" w:rsidRDefault="00ED0231" w:rsidP="00ED0231">
      <w:pPr>
        <w:autoSpaceDE w:val="0"/>
        <w:autoSpaceDN w:val="0"/>
        <w:ind w:left="360"/>
        <w:rPr>
          <w:rFonts w:ascii="Times New Roman" w:hAnsi="Times New Roman" w:cs="Times New Roman"/>
          <w:b/>
          <w:bCs/>
          <w:sz w:val="20"/>
          <w:szCs w:val="20"/>
        </w:rPr>
      </w:pPr>
      <w:r w:rsidRPr="00ED0231">
        <w:rPr>
          <w:rFonts w:ascii="Times New Roman" w:hAnsi="Times New Roman" w:cs="Times New Roman"/>
          <w:sz w:val="20"/>
          <w:szCs w:val="20"/>
        </w:rPr>
        <w:t xml:space="preserve">Monday, 9:45 AM-10:45 AM </w:t>
      </w:r>
      <w:r w:rsidRPr="00ED0231">
        <w:rPr>
          <w:rFonts w:ascii="Times New Roman" w:hAnsi="Times New Roman" w:cs="Times New Roman"/>
          <w:b/>
          <w:bCs/>
          <w:sz w:val="20"/>
          <w:szCs w:val="20"/>
        </w:rPr>
        <w:t>Technical Paper Session 3</w:t>
      </w:r>
    </w:p>
    <w:p w:rsidR="00ED0231" w:rsidRPr="00ED0231" w:rsidRDefault="00ED0231" w:rsidP="00ED0231">
      <w:pPr>
        <w:autoSpaceDE w:val="0"/>
        <w:autoSpaceDN w:val="0"/>
        <w:adjustRightInd w:val="0"/>
        <w:ind w:firstLine="360"/>
        <w:rPr>
          <w:rFonts w:ascii="Times New Roman" w:hAnsi="Times New Roman" w:cs="Times New Roman"/>
          <w:b/>
          <w:bCs/>
          <w:sz w:val="20"/>
          <w:szCs w:val="20"/>
        </w:rPr>
      </w:pPr>
      <w:r w:rsidRPr="00ED0231">
        <w:rPr>
          <w:rFonts w:ascii="Times New Roman" w:hAnsi="Times New Roman" w:cs="Times New Roman"/>
          <w:b/>
          <w:bCs/>
          <w:sz w:val="20"/>
          <w:szCs w:val="20"/>
        </w:rPr>
        <w:t>Data Center Energy Performance Metrics</w:t>
      </w:r>
    </w:p>
    <w:p w:rsidR="00ED0231" w:rsidRPr="00ED0231" w:rsidRDefault="00ED0231" w:rsidP="00ED0231">
      <w:pPr>
        <w:autoSpaceDE w:val="0"/>
        <w:autoSpaceDN w:val="0"/>
        <w:ind w:left="360"/>
        <w:rPr>
          <w:rFonts w:ascii="Times New Roman" w:hAnsi="Times New Roman" w:cs="Times New Roman"/>
          <w:b/>
          <w:bCs/>
          <w:sz w:val="20"/>
          <w:szCs w:val="20"/>
        </w:rPr>
      </w:pPr>
      <w:r w:rsidRPr="00ED0231">
        <w:rPr>
          <w:rFonts w:ascii="Times New Roman" w:hAnsi="Times New Roman" w:cs="Times New Roman"/>
          <w:sz w:val="20"/>
          <w:szCs w:val="20"/>
        </w:rPr>
        <w:t xml:space="preserve">Monday, 9:45 AM-10:45 AM </w:t>
      </w:r>
      <w:r w:rsidRPr="00ED0231">
        <w:rPr>
          <w:rFonts w:ascii="Times New Roman" w:hAnsi="Times New Roman" w:cs="Times New Roman"/>
          <w:b/>
          <w:bCs/>
          <w:sz w:val="20"/>
          <w:szCs w:val="20"/>
        </w:rPr>
        <w:t>Conference Paper Session 8</w:t>
      </w:r>
    </w:p>
    <w:p w:rsidR="00ED0231" w:rsidRPr="00ED0231" w:rsidRDefault="00ED0231" w:rsidP="00ED0231">
      <w:pPr>
        <w:autoSpaceDE w:val="0"/>
        <w:autoSpaceDN w:val="0"/>
        <w:adjustRightInd w:val="0"/>
        <w:ind w:firstLine="360"/>
        <w:rPr>
          <w:rFonts w:ascii="Times New Roman" w:hAnsi="Times New Roman" w:cs="Times New Roman"/>
          <w:b/>
          <w:bCs/>
          <w:sz w:val="20"/>
          <w:szCs w:val="20"/>
        </w:rPr>
      </w:pPr>
      <w:r w:rsidRPr="00ED0231">
        <w:rPr>
          <w:rFonts w:ascii="Times New Roman" w:hAnsi="Times New Roman" w:cs="Times New Roman"/>
          <w:b/>
          <w:bCs/>
          <w:sz w:val="20"/>
          <w:szCs w:val="20"/>
        </w:rPr>
        <w:t xml:space="preserve">Energy Efficiency </w:t>
      </w:r>
      <w:proofErr w:type="gramStart"/>
      <w:r w:rsidRPr="00ED0231">
        <w:rPr>
          <w:rFonts w:ascii="Times New Roman" w:hAnsi="Times New Roman" w:cs="Times New Roman"/>
          <w:b/>
          <w:bCs/>
          <w:sz w:val="20"/>
          <w:szCs w:val="20"/>
        </w:rPr>
        <w:t>Around</w:t>
      </w:r>
      <w:proofErr w:type="gramEnd"/>
      <w:r w:rsidRPr="00ED0231">
        <w:rPr>
          <w:rFonts w:ascii="Times New Roman" w:hAnsi="Times New Roman" w:cs="Times New Roman"/>
          <w:b/>
          <w:bCs/>
          <w:sz w:val="20"/>
          <w:szCs w:val="20"/>
        </w:rPr>
        <w:t xml:space="preserve"> the World</w:t>
      </w:r>
    </w:p>
    <w:p w:rsidR="00ED0231" w:rsidRPr="00ED0231" w:rsidRDefault="00ED0231" w:rsidP="00ED0231">
      <w:pPr>
        <w:autoSpaceDE w:val="0"/>
        <w:autoSpaceDN w:val="0"/>
        <w:ind w:left="360"/>
        <w:rPr>
          <w:rFonts w:ascii="Times New Roman" w:hAnsi="Times New Roman" w:cs="Times New Roman"/>
          <w:b/>
          <w:bCs/>
          <w:sz w:val="20"/>
          <w:szCs w:val="20"/>
        </w:rPr>
      </w:pPr>
      <w:r w:rsidRPr="00ED0231">
        <w:rPr>
          <w:rFonts w:ascii="Times New Roman" w:hAnsi="Times New Roman" w:cs="Times New Roman"/>
          <w:sz w:val="20"/>
          <w:szCs w:val="20"/>
        </w:rPr>
        <w:t xml:space="preserve">Monday, 10:00 AM-11:00 AM </w:t>
      </w:r>
      <w:r w:rsidRPr="00ED0231">
        <w:rPr>
          <w:rFonts w:ascii="Times New Roman" w:hAnsi="Times New Roman" w:cs="Times New Roman"/>
          <w:b/>
          <w:bCs/>
          <w:sz w:val="20"/>
          <w:szCs w:val="20"/>
        </w:rPr>
        <w:t>Seminar TC</w:t>
      </w:r>
    </w:p>
    <w:p w:rsidR="00ED0231" w:rsidRPr="00ED0231" w:rsidRDefault="00ED0231" w:rsidP="00ED0231">
      <w:pPr>
        <w:autoSpaceDE w:val="0"/>
        <w:autoSpaceDN w:val="0"/>
        <w:adjustRightInd w:val="0"/>
        <w:ind w:firstLine="360"/>
        <w:rPr>
          <w:rFonts w:ascii="Times New Roman" w:hAnsi="Times New Roman" w:cs="Times New Roman"/>
          <w:b/>
          <w:bCs/>
          <w:sz w:val="20"/>
          <w:szCs w:val="20"/>
        </w:rPr>
      </w:pPr>
      <w:r w:rsidRPr="00ED0231">
        <w:rPr>
          <w:rFonts w:ascii="Times New Roman" w:hAnsi="Times New Roman" w:cs="Times New Roman"/>
          <w:b/>
          <w:bCs/>
          <w:sz w:val="20"/>
          <w:szCs w:val="20"/>
        </w:rPr>
        <w:t>Study to Identify CFD Models for Use in Determining HVAC Duct Fitting Loss Coefficients</w:t>
      </w:r>
    </w:p>
    <w:p w:rsidR="00ED0231" w:rsidRPr="00ED0231" w:rsidRDefault="00ED0231" w:rsidP="00ED0231">
      <w:pPr>
        <w:autoSpaceDE w:val="0"/>
        <w:autoSpaceDN w:val="0"/>
        <w:ind w:left="360"/>
        <w:rPr>
          <w:rFonts w:ascii="Times New Roman" w:hAnsi="Times New Roman" w:cs="Times New Roman"/>
          <w:b/>
          <w:bCs/>
          <w:sz w:val="20"/>
          <w:szCs w:val="20"/>
        </w:rPr>
      </w:pPr>
      <w:r w:rsidRPr="00ED0231">
        <w:rPr>
          <w:rFonts w:ascii="Times New Roman" w:hAnsi="Times New Roman" w:cs="Times New Roman"/>
          <w:sz w:val="20"/>
          <w:szCs w:val="20"/>
        </w:rPr>
        <w:t xml:space="preserve">Monday, 11:00 AM-12:00 PM </w:t>
      </w:r>
      <w:r w:rsidRPr="00ED0231">
        <w:rPr>
          <w:rFonts w:ascii="Times New Roman" w:hAnsi="Times New Roman" w:cs="Times New Roman"/>
          <w:b/>
          <w:bCs/>
          <w:sz w:val="20"/>
          <w:szCs w:val="20"/>
        </w:rPr>
        <w:t>Seminar 33</w:t>
      </w:r>
    </w:p>
    <w:p w:rsidR="00ED0231" w:rsidRPr="00ED0231" w:rsidRDefault="00ED0231" w:rsidP="00ED0231">
      <w:pPr>
        <w:autoSpaceDE w:val="0"/>
        <w:autoSpaceDN w:val="0"/>
        <w:ind w:left="360"/>
        <w:rPr>
          <w:rFonts w:ascii="Times New Roman" w:hAnsi="Times New Roman" w:cs="Times New Roman"/>
          <w:b/>
          <w:bCs/>
          <w:sz w:val="20"/>
          <w:szCs w:val="20"/>
        </w:rPr>
      </w:pPr>
      <w:r w:rsidRPr="00ED0231">
        <w:rPr>
          <w:rFonts w:ascii="Times New Roman" w:hAnsi="Times New Roman" w:cs="Times New Roman"/>
          <w:b/>
          <w:bCs/>
          <w:sz w:val="20"/>
          <w:szCs w:val="20"/>
        </w:rPr>
        <w:t>Should You Use Your Building Automation System to Commission Your Building Systems?</w:t>
      </w:r>
    </w:p>
    <w:p w:rsidR="00ED0231" w:rsidRPr="00ED0231" w:rsidRDefault="00ED0231" w:rsidP="00ED0231">
      <w:pPr>
        <w:autoSpaceDE w:val="0"/>
        <w:autoSpaceDN w:val="0"/>
        <w:ind w:left="360"/>
        <w:rPr>
          <w:rFonts w:ascii="Times New Roman" w:hAnsi="Times New Roman" w:cs="Times New Roman"/>
          <w:b/>
          <w:bCs/>
          <w:sz w:val="20"/>
          <w:szCs w:val="20"/>
        </w:rPr>
      </w:pPr>
      <w:r w:rsidRPr="00ED0231">
        <w:rPr>
          <w:rFonts w:ascii="Times New Roman" w:hAnsi="Times New Roman" w:cs="Times New Roman"/>
          <w:sz w:val="20"/>
          <w:szCs w:val="20"/>
        </w:rPr>
        <w:t xml:space="preserve">Tuesday, 9:45 AM-11:00 AM </w:t>
      </w:r>
      <w:r w:rsidRPr="00ED0231">
        <w:rPr>
          <w:rFonts w:ascii="Times New Roman" w:hAnsi="Times New Roman" w:cs="Times New Roman"/>
          <w:b/>
          <w:bCs/>
          <w:sz w:val="20"/>
          <w:szCs w:val="20"/>
        </w:rPr>
        <w:t>Seminar 46</w:t>
      </w:r>
    </w:p>
    <w:p w:rsidR="00ED0231" w:rsidRPr="00ED0231" w:rsidRDefault="00ED0231" w:rsidP="00ED0231">
      <w:pPr>
        <w:autoSpaceDE w:val="0"/>
        <w:autoSpaceDN w:val="0"/>
        <w:ind w:left="360"/>
        <w:rPr>
          <w:rFonts w:ascii="Times New Roman" w:hAnsi="Times New Roman" w:cs="Times New Roman"/>
          <w:b/>
          <w:sz w:val="20"/>
          <w:szCs w:val="20"/>
        </w:rPr>
      </w:pPr>
      <w:r w:rsidRPr="00ED0231">
        <w:rPr>
          <w:rFonts w:ascii="Times New Roman" w:hAnsi="Times New Roman" w:cs="Times New Roman"/>
          <w:b/>
          <w:sz w:val="20"/>
          <w:szCs w:val="20"/>
        </w:rPr>
        <w:t>Orlando’s Energy Plan: Now and in the Future</w:t>
      </w:r>
    </w:p>
    <w:p w:rsidR="00ED0231" w:rsidRPr="00ED0231" w:rsidRDefault="00ED0231" w:rsidP="00ED0231">
      <w:pPr>
        <w:autoSpaceDE w:val="0"/>
        <w:autoSpaceDN w:val="0"/>
        <w:ind w:left="360"/>
        <w:rPr>
          <w:rFonts w:ascii="Times New Roman" w:hAnsi="Times New Roman" w:cs="Times New Roman"/>
          <w:b/>
          <w:bCs/>
          <w:sz w:val="20"/>
          <w:szCs w:val="20"/>
        </w:rPr>
      </w:pPr>
      <w:r w:rsidRPr="00ED0231">
        <w:rPr>
          <w:rFonts w:ascii="Times New Roman" w:hAnsi="Times New Roman" w:cs="Times New Roman"/>
          <w:sz w:val="20"/>
          <w:szCs w:val="20"/>
        </w:rPr>
        <w:t xml:space="preserve">Wednesday, 8:00 AM-9:30 PM </w:t>
      </w:r>
      <w:r w:rsidRPr="00ED0231">
        <w:rPr>
          <w:rFonts w:ascii="Times New Roman" w:hAnsi="Times New Roman" w:cs="Times New Roman"/>
          <w:b/>
          <w:bCs/>
          <w:sz w:val="20"/>
          <w:szCs w:val="20"/>
        </w:rPr>
        <w:t>Technical Paper Session 8</w:t>
      </w:r>
    </w:p>
    <w:p w:rsidR="00ED0231" w:rsidRPr="00ED0231" w:rsidRDefault="00ED0231" w:rsidP="00ED0231">
      <w:pPr>
        <w:autoSpaceDE w:val="0"/>
        <w:autoSpaceDN w:val="0"/>
        <w:adjustRightInd w:val="0"/>
        <w:ind w:firstLine="360"/>
        <w:rPr>
          <w:rFonts w:ascii="Times New Roman" w:hAnsi="Times New Roman" w:cs="Times New Roman"/>
          <w:b/>
          <w:bCs/>
          <w:sz w:val="20"/>
          <w:szCs w:val="20"/>
        </w:rPr>
      </w:pPr>
      <w:r w:rsidRPr="00ED0231">
        <w:rPr>
          <w:rFonts w:ascii="Times New Roman" w:hAnsi="Times New Roman" w:cs="Times New Roman"/>
          <w:b/>
          <w:bCs/>
          <w:sz w:val="20"/>
          <w:szCs w:val="20"/>
        </w:rPr>
        <w:t>IEA Annex 61 Deep Energy Retrofit, Part 2: The Path to Net Zero</w:t>
      </w:r>
    </w:p>
    <w:p w:rsidR="00ED0231" w:rsidRPr="00ED0231" w:rsidRDefault="00ED0231" w:rsidP="00ED0231">
      <w:pPr>
        <w:autoSpaceDE w:val="0"/>
        <w:autoSpaceDN w:val="0"/>
        <w:ind w:left="360"/>
        <w:rPr>
          <w:rFonts w:ascii="Times New Roman" w:hAnsi="Times New Roman" w:cs="Times New Roman"/>
          <w:b/>
          <w:bCs/>
          <w:sz w:val="20"/>
          <w:szCs w:val="20"/>
        </w:rPr>
      </w:pPr>
      <w:r w:rsidRPr="00ED0231">
        <w:rPr>
          <w:rFonts w:ascii="Times New Roman" w:hAnsi="Times New Roman" w:cs="Times New Roman"/>
          <w:sz w:val="20"/>
          <w:szCs w:val="20"/>
        </w:rPr>
        <w:t>Wednesday, 11:00 AM-12:30 PM Seminar 66</w:t>
      </w:r>
    </w:p>
    <w:p w:rsidR="00ED0231" w:rsidRPr="00ED0231" w:rsidRDefault="00ED0231" w:rsidP="00ED0231">
      <w:pPr>
        <w:autoSpaceDE w:val="0"/>
        <w:autoSpaceDN w:val="0"/>
        <w:adjustRightInd w:val="0"/>
        <w:ind w:firstLine="360"/>
        <w:rPr>
          <w:rFonts w:ascii="Times New Roman" w:hAnsi="Times New Roman" w:cs="Times New Roman"/>
          <w:sz w:val="20"/>
          <w:szCs w:val="20"/>
        </w:rPr>
      </w:pPr>
      <w:r w:rsidRPr="00ED0231">
        <w:rPr>
          <w:rFonts w:ascii="Times New Roman" w:hAnsi="Times New Roman" w:cs="Times New Roman"/>
          <w:b/>
          <w:bCs/>
          <w:sz w:val="20"/>
          <w:szCs w:val="20"/>
        </w:rPr>
        <w:t>Energy Performance Run By Data</w:t>
      </w:r>
    </w:p>
    <w:p w:rsidR="00A40EDC" w:rsidRPr="00ED0231" w:rsidRDefault="00A40EDC" w:rsidP="00ED0231">
      <w:pPr>
        <w:widowControl/>
        <w:spacing w:afterLines="20" w:after="48" w:line="240" w:lineRule="auto"/>
        <w:ind w:left="1440"/>
        <w:rPr>
          <w:rFonts w:ascii="Times New Roman" w:hAnsi="Times New Roman" w:cs="Times New Roman"/>
        </w:rPr>
      </w:pPr>
    </w:p>
    <w:sectPr w:rsidR="00A40EDC" w:rsidRPr="00ED0231" w:rsidSect="00D0013D">
      <w:type w:val="continuous"/>
      <w:pgSz w:w="11920" w:h="16840"/>
      <w:pgMar w:top="820" w:right="940" w:bottom="280" w:left="16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D55E4B"/>
    <w:multiLevelType w:val="hybridMultilevel"/>
    <w:tmpl w:val="A64C5D04"/>
    <w:lvl w:ilvl="0" w:tplc="DA7ED1F2">
      <w:start w:val="1"/>
      <w:numFmt w:val="decimal"/>
      <w:lvlText w:val="%1)"/>
      <w:lvlJc w:val="left"/>
      <w:pPr>
        <w:ind w:left="720" w:hanging="360"/>
      </w:pPr>
      <w:rPr>
        <w:rFonts w:ascii="Calibri" w:hAnsi="Calibri" w:cs="Times New Roman" w:hint="default"/>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6A022AF1"/>
    <w:multiLevelType w:val="hybridMultilevel"/>
    <w:tmpl w:val="FB800308"/>
    <w:lvl w:ilvl="0" w:tplc="9FA4D37C">
      <w:start w:val="1"/>
      <w:numFmt w:val="decimal"/>
      <w:lvlText w:val="%1."/>
      <w:lvlJc w:val="left"/>
      <w:pPr>
        <w:tabs>
          <w:tab w:val="num" w:pos="2721"/>
        </w:tabs>
        <w:ind w:left="2721" w:hanging="720"/>
      </w:pPr>
      <w:rPr>
        <w:rFonts w:hint="default"/>
      </w:rPr>
    </w:lvl>
    <w:lvl w:ilvl="1" w:tplc="04090019">
      <w:start w:val="1"/>
      <w:numFmt w:val="lowerLetter"/>
      <w:lvlText w:val="%2."/>
      <w:lvlJc w:val="left"/>
      <w:pPr>
        <w:tabs>
          <w:tab w:val="num" w:pos="3081"/>
        </w:tabs>
        <w:ind w:left="3081" w:hanging="360"/>
      </w:pPr>
    </w:lvl>
    <w:lvl w:ilvl="2" w:tplc="0409001B">
      <w:start w:val="1"/>
      <w:numFmt w:val="lowerRoman"/>
      <w:lvlText w:val="%3."/>
      <w:lvlJc w:val="right"/>
      <w:pPr>
        <w:tabs>
          <w:tab w:val="num" w:pos="3801"/>
        </w:tabs>
        <w:ind w:left="3801" w:hanging="180"/>
      </w:pPr>
    </w:lvl>
    <w:lvl w:ilvl="3" w:tplc="0409000F" w:tentative="1">
      <w:start w:val="1"/>
      <w:numFmt w:val="decimal"/>
      <w:lvlText w:val="%4."/>
      <w:lvlJc w:val="left"/>
      <w:pPr>
        <w:tabs>
          <w:tab w:val="num" w:pos="4521"/>
        </w:tabs>
        <w:ind w:left="4521" w:hanging="360"/>
      </w:pPr>
    </w:lvl>
    <w:lvl w:ilvl="4" w:tplc="04090019" w:tentative="1">
      <w:start w:val="1"/>
      <w:numFmt w:val="lowerLetter"/>
      <w:lvlText w:val="%5."/>
      <w:lvlJc w:val="left"/>
      <w:pPr>
        <w:tabs>
          <w:tab w:val="num" w:pos="5241"/>
        </w:tabs>
        <w:ind w:left="5241" w:hanging="360"/>
      </w:pPr>
    </w:lvl>
    <w:lvl w:ilvl="5" w:tplc="0409001B" w:tentative="1">
      <w:start w:val="1"/>
      <w:numFmt w:val="lowerRoman"/>
      <w:lvlText w:val="%6."/>
      <w:lvlJc w:val="right"/>
      <w:pPr>
        <w:tabs>
          <w:tab w:val="num" w:pos="5961"/>
        </w:tabs>
        <w:ind w:left="5961" w:hanging="180"/>
      </w:pPr>
    </w:lvl>
    <w:lvl w:ilvl="6" w:tplc="0409000F" w:tentative="1">
      <w:start w:val="1"/>
      <w:numFmt w:val="decimal"/>
      <w:lvlText w:val="%7."/>
      <w:lvlJc w:val="left"/>
      <w:pPr>
        <w:tabs>
          <w:tab w:val="num" w:pos="6681"/>
        </w:tabs>
        <w:ind w:left="6681" w:hanging="360"/>
      </w:pPr>
    </w:lvl>
    <w:lvl w:ilvl="7" w:tplc="04090019" w:tentative="1">
      <w:start w:val="1"/>
      <w:numFmt w:val="lowerLetter"/>
      <w:lvlText w:val="%8."/>
      <w:lvlJc w:val="left"/>
      <w:pPr>
        <w:tabs>
          <w:tab w:val="num" w:pos="7401"/>
        </w:tabs>
        <w:ind w:left="7401" w:hanging="360"/>
      </w:pPr>
    </w:lvl>
    <w:lvl w:ilvl="8" w:tplc="0409001B" w:tentative="1">
      <w:start w:val="1"/>
      <w:numFmt w:val="lowerRoman"/>
      <w:lvlText w:val="%9."/>
      <w:lvlJc w:val="right"/>
      <w:pPr>
        <w:tabs>
          <w:tab w:val="num" w:pos="8121"/>
        </w:tabs>
        <w:ind w:left="8121"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32B9"/>
    <w:rsid w:val="00020CD1"/>
    <w:rsid w:val="000B465F"/>
    <w:rsid w:val="00111663"/>
    <w:rsid w:val="00122F9D"/>
    <w:rsid w:val="0013509C"/>
    <w:rsid w:val="0014094A"/>
    <w:rsid w:val="00140C62"/>
    <w:rsid w:val="001479C1"/>
    <w:rsid w:val="00204FDE"/>
    <w:rsid w:val="002510BE"/>
    <w:rsid w:val="003D7D90"/>
    <w:rsid w:val="00406E39"/>
    <w:rsid w:val="004F2FBE"/>
    <w:rsid w:val="00513DC2"/>
    <w:rsid w:val="005A0B25"/>
    <w:rsid w:val="006972AE"/>
    <w:rsid w:val="006E766B"/>
    <w:rsid w:val="00714DF2"/>
    <w:rsid w:val="008E245A"/>
    <w:rsid w:val="0095653E"/>
    <w:rsid w:val="009E008A"/>
    <w:rsid w:val="00A1253C"/>
    <w:rsid w:val="00A40EDC"/>
    <w:rsid w:val="00B23452"/>
    <w:rsid w:val="00BA15D9"/>
    <w:rsid w:val="00BC3E12"/>
    <w:rsid w:val="00C5225A"/>
    <w:rsid w:val="00D0013D"/>
    <w:rsid w:val="00D410FB"/>
    <w:rsid w:val="00D732B9"/>
    <w:rsid w:val="00E44F40"/>
    <w:rsid w:val="00E87F11"/>
    <w:rsid w:val="00E928D3"/>
    <w:rsid w:val="00ED0231"/>
    <w:rsid w:val="00F43734"/>
    <w:rsid w:val="00F57F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D90"/>
    <w:pPr>
      <w:ind w:left="720"/>
      <w:contextualSpacing/>
    </w:pPr>
  </w:style>
  <w:style w:type="character" w:styleId="Hyperlink">
    <w:name w:val="Hyperlink"/>
    <w:rsid w:val="00A40EDC"/>
    <w:rPr>
      <w:color w:val="0000FF"/>
      <w:u w:val="single"/>
    </w:rPr>
  </w:style>
  <w:style w:type="paragraph" w:customStyle="1" w:styleId="msolistparagraph0">
    <w:name w:val="msolistparagraph"/>
    <w:basedOn w:val="Normal"/>
    <w:rsid w:val="00A40EDC"/>
    <w:pPr>
      <w:widowControl/>
      <w:spacing w:after="0" w:line="240" w:lineRule="auto"/>
      <w:ind w:left="720"/>
    </w:pPr>
    <w:rPr>
      <w:rFonts w:ascii="Calibri" w:eastAsia="Times New Roman" w:hAnsi="Calibri" w:cs="Times New Roman"/>
    </w:rPr>
  </w:style>
  <w:style w:type="paragraph" w:styleId="BalloonText">
    <w:name w:val="Balloon Text"/>
    <w:basedOn w:val="Normal"/>
    <w:link w:val="BalloonTextChar"/>
    <w:uiPriority w:val="99"/>
    <w:semiHidden/>
    <w:unhideWhenUsed/>
    <w:rsid w:val="008E24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245A"/>
    <w:rPr>
      <w:rFonts w:ascii="Tahoma" w:hAnsi="Tahoma" w:cs="Tahoma"/>
      <w:sz w:val="16"/>
      <w:szCs w:val="16"/>
    </w:rPr>
  </w:style>
  <w:style w:type="paragraph" w:styleId="NormalWeb">
    <w:name w:val="Normal (Web)"/>
    <w:basedOn w:val="Normal"/>
    <w:uiPriority w:val="99"/>
    <w:unhideWhenUsed/>
    <w:rsid w:val="005A0B25"/>
    <w:pPr>
      <w:widowControl/>
      <w:spacing w:after="150" w:line="240" w:lineRule="auto"/>
    </w:pPr>
    <w:rPr>
      <w:rFonts w:ascii="Times New Roman" w:eastAsia="Times New Roman" w:hAnsi="Times New Roman" w:cs="Times New Roman"/>
      <w:sz w:val="24"/>
      <w:szCs w:val="24"/>
    </w:rPr>
  </w:style>
  <w:style w:type="paragraph" w:styleId="PlainText">
    <w:name w:val="Plain Text"/>
    <w:basedOn w:val="Normal"/>
    <w:link w:val="PlainTextChar"/>
    <w:uiPriority w:val="99"/>
    <w:unhideWhenUsed/>
    <w:rsid w:val="00ED0231"/>
    <w:pPr>
      <w:widowControl/>
      <w:spacing w:after="0" w:line="240" w:lineRule="auto"/>
    </w:pPr>
    <w:rPr>
      <w:rFonts w:ascii="Calibri" w:eastAsia="Calibri" w:hAnsi="Calibri" w:cs="Times New Roman"/>
      <w:szCs w:val="21"/>
    </w:rPr>
  </w:style>
  <w:style w:type="character" w:customStyle="1" w:styleId="PlainTextChar">
    <w:name w:val="Plain Text Char"/>
    <w:basedOn w:val="DefaultParagraphFont"/>
    <w:link w:val="PlainText"/>
    <w:uiPriority w:val="99"/>
    <w:rsid w:val="00ED0231"/>
    <w:rPr>
      <w:rFonts w:ascii="Calibri" w:eastAsia="Calibri" w:hAnsi="Calibri" w:cs="Times New Roman"/>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D90"/>
    <w:pPr>
      <w:ind w:left="720"/>
      <w:contextualSpacing/>
    </w:pPr>
  </w:style>
  <w:style w:type="character" w:styleId="Hyperlink">
    <w:name w:val="Hyperlink"/>
    <w:rsid w:val="00A40EDC"/>
    <w:rPr>
      <w:color w:val="0000FF"/>
      <w:u w:val="single"/>
    </w:rPr>
  </w:style>
  <w:style w:type="paragraph" w:customStyle="1" w:styleId="msolistparagraph0">
    <w:name w:val="msolistparagraph"/>
    <w:basedOn w:val="Normal"/>
    <w:rsid w:val="00A40EDC"/>
    <w:pPr>
      <w:widowControl/>
      <w:spacing w:after="0" w:line="240" w:lineRule="auto"/>
      <w:ind w:left="720"/>
    </w:pPr>
    <w:rPr>
      <w:rFonts w:ascii="Calibri" w:eastAsia="Times New Roman" w:hAnsi="Calibri" w:cs="Times New Roman"/>
    </w:rPr>
  </w:style>
  <w:style w:type="paragraph" w:styleId="BalloonText">
    <w:name w:val="Balloon Text"/>
    <w:basedOn w:val="Normal"/>
    <w:link w:val="BalloonTextChar"/>
    <w:uiPriority w:val="99"/>
    <w:semiHidden/>
    <w:unhideWhenUsed/>
    <w:rsid w:val="008E24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245A"/>
    <w:rPr>
      <w:rFonts w:ascii="Tahoma" w:hAnsi="Tahoma" w:cs="Tahoma"/>
      <w:sz w:val="16"/>
      <w:szCs w:val="16"/>
    </w:rPr>
  </w:style>
  <w:style w:type="paragraph" w:styleId="NormalWeb">
    <w:name w:val="Normal (Web)"/>
    <w:basedOn w:val="Normal"/>
    <w:uiPriority w:val="99"/>
    <w:unhideWhenUsed/>
    <w:rsid w:val="005A0B25"/>
    <w:pPr>
      <w:widowControl/>
      <w:spacing w:after="150" w:line="240" w:lineRule="auto"/>
    </w:pPr>
    <w:rPr>
      <w:rFonts w:ascii="Times New Roman" w:eastAsia="Times New Roman" w:hAnsi="Times New Roman" w:cs="Times New Roman"/>
      <w:sz w:val="24"/>
      <w:szCs w:val="24"/>
    </w:rPr>
  </w:style>
  <w:style w:type="paragraph" w:styleId="PlainText">
    <w:name w:val="Plain Text"/>
    <w:basedOn w:val="Normal"/>
    <w:link w:val="PlainTextChar"/>
    <w:uiPriority w:val="99"/>
    <w:unhideWhenUsed/>
    <w:rsid w:val="00ED0231"/>
    <w:pPr>
      <w:widowControl/>
      <w:spacing w:after="0" w:line="240" w:lineRule="auto"/>
    </w:pPr>
    <w:rPr>
      <w:rFonts w:ascii="Calibri" w:eastAsia="Calibri" w:hAnsi="Calibri" w:cs="Times New Roman"/>
      <w:szCs w:val="21"/>
    </w:rPr>
  </w:style>
  <w:style w:type="character" w:customStyle="1" w:styleId="PlainTextChar">
    <w:name w:val="Plain Text Char"/>
    <w:basedOn w:val="DefaultParagraphFont"/>
    <w:link w:val="PlainText"/>
    <w:uiPriority w:val="99"/>
    <w:rsid w:val="00ED0231"/>
    <w:rPr>
      <w:rFonts w:ascii="Calibri" w:eastAsia="Calibri" w:hAnsi="Calibri" w:cs="Times New Roman"/>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nergy.gov/articles/doe-announces-11-million-seven-new-projects-test-new-options-optimal-efficiency-us-electric" TargetMode="External"/><Relationship Id="rId13" Type="http://schemas.openxmlformats.org/officeDocument/2006/relationships/hyperlink" Target="https://www.iea.org/publications/freepublications/publication/building-energy-performance-metrics.html"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epminst.us/states/shapingres.htm" TargetMode="External"/><Relationship Id="rId12" Type="http://schemas.openxmlformats.org/officeDocument/2006/relationships/hyperlink" Target="https://ec.europa.eu/energy/en/topics/energy-strategy"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IMT.org" TargetMode="External"/><Relationship Id="rId1" Type="http://schemas.openxmlformats.org/officeDocument/2006/relationships/numbering" Target="numbering.xml"/><Relationship Id="rId6" Type="http://schemas.openxmlformats.org/officeDocument/2006/relationships/hyperlink" Target="http://www.eia.gov/consumption/commercial/reports/2012/assessorexp/pdf/assessorrpt.pdf" TargetMode="External"/><Relationship Id="rId11" Type="http://schemas.openxmlformats.org/officeDocument/2006/relationships/hyperlink" Target="http://ec.europa.eu/energy/en" TargetMode="External"/><Relationship Id="rId5" Type="http://schemas.openxmlformats.org/officeDocument/2006/relationships/webSettings" Target="webSettings.xml"/><Relationship Id="rId15" Type="http://schemas.openxmlformats.org/officeDocument/2006/relationships/hyperlink" Target="http://energy.gov/eere/buildings/building-energy-data-exchange-specification-bedes" TargetMode="Externa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energy.ca.gov/2015publications/CEC-400-2015-013/CEC-400-2015-013-D.pdf" TargetMode="External"/><Relationship Id="rId14" Type="http://schemas.openxmlformats.org/officeDocument/2006/relationships/hyperlink" Target="http://www.climateworks.org/wp-content/uploads/2015/11/Report_How-Energy-Efficiency-Cuts-Costs-for-a-2-Degree-Futur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4</Pages>
  <Words>1538</Words>
  <Characters>8773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MEETING MINUTES</vt:lpstr>
    </vt:vector>
  </TitlesOfParts>
  <Company/>
  <LinksUpToDate>false</LinksUpToDate>
  <CharactersWithSpaces>10291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MINUTES</dc:title>
  <dc:creator>jmm</dc:creator>
  <cp:lastModifiedBy>Dennis Landsberg</cp:lastModifiedBy>
  <cp:revision>4</cp:revision>
  <dcterms:created xsi:type="dcterms:W3CDTF">2016-01-25T21:41:00Z</dcterms:created>
  <dcterms:modified xsi:type="dcterms:W3CDTF">2016-01-25T22:08:00Z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2012-06-25T00:00:00Z</vt:filetime>
  </property>
  <property fmtid="{D5CDD505-2E9C-101B-9397-08002B2CF9AE}" pid="3" name="LastSaved">
    <vt:filetime>2013-01-28T00:00:00Z</vt:filetime>
  </property>
</Properties>
</file>