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rsidTr="00C73AB9">
        <w:trPr>
          <w:jc w:val="center"/>
        </w:trPr>
        <w:tc>
          <w:tcPr>
            <w:tcW w:w="9738" w:type="dxa"/>
          </w:tcPr>
          <w:p w:rsidR="0012530B" w:rsidRPr="00455F4A" w:rsidRDefault="001A5E09" w:rsidP="00C73AB9">
            <w:pPr>
              <w:pStyle w:val="Default"/>
              <w:spacing w:before="120" w:after="120"/>
              <w:ind w:left="346"/>
              <w:rPr>
                <w:rFonts w:ascii="Calibri" w:hAnsi="Calibri" w:cs="Calibri"/>
                <w:b/>
                <w:sz w:val="56"/>
              </w:rPr>
            </w:pPr>
            <w:r>
              <w:rPr>
                <w:rFonts w:cs="Calibri"/>
                <w:noProof/>
                <w:color w:val="221E1F"/>
              </w:rPr>
              <w:drawing>
                <wp:anchor distT="0" distB="0" distL="114300" distR="114300" simplePos="0" relativeHeight="251657728" behindDoc="0" locked="0" layoutInCell="1" allowOverlap="1">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132442">
              <w:rPr>
                <w:rFonts w:ascii="Calibri" w:hAnsi="Calibri" w:cs="Calibri"/>
                <w:b/>
                <w:sz w:val="56"/>
              </w:rPr>
              <w:t>Minutes</w:t>
            </w:r>
          </w:p>
          <w:p w:rsidR="0036446C" w:rsidRPr="003872BD" w:rsidRDefault="0036446C" w:rsidP="00C73AB9">
            <w:pPr>
              <w:ind w:left="351"/>
              <w:rPr>
                <w:rFonts w:ascii="Calibri" w:hAnsi="Calibri" w:cs="Calibri"/>
                <w:b/>
                <w:szCs w:val="24"/>
              </w:rPr>
            </w:pPr>
            <w:r w:rsidRPr="003872BD">
              <w:rPr>
                <w:rFonts w:ascii="Calibri" w:hAnsi="Calibri" w:cs="Calibri"/>
                <w:b/>
                <w:szCs w:val="24"/>
              </w:rPr>
              <w:t>TC 7.6 – Building Energy Performance</w:t>
            </w:r>
          </w:p>
          <w:p w:rsidR="0012530B" w:rsidRPr="005D291F" w:rsidRDefault="0012530B" w:rsidP="00C73AB9">
            <w:pPr>
              <w:ind w:left="351"/>
              <w:rPr>
                <w:rFonts w:ascii="Calibri" w:hAnsi="Calibri" w:cs="Calibri"/>
                <w:b/>
                <w:szCs w:val="24"/>
              </w:rPr>
            </w:pPr>
            <w:r w:rsidRPr="0012530B">
              <w:rPr>
                <w:rFonts w:ascii="Calibri" w:hAnsi="Calibri" w:cs="Calibri"/>
                <w:b/>
                <w:szCs w:val="24"/>
              </w:rPr>
              <w:t>Commercial Building Energy Audits Sub-committee</w:t>
            </w:r>
          </w:p>
          <w:p w:rsidR="0012530B" w:rsidRPr="005D291F" w:rsidRDefault="0012530B" w:rsidP="00C73AB9">
            <w:pPr>
              <w:ind w:left="351"/>
              <w:rPr>
                <w:rFonts w:ascii="Calibri" w:hAnsi="Calibri" w:cs="Calibri"/>
                <w:b/>
                <w:szCs w:val="24"/>
              </w:rPr>
            </w:pPr>
          </w:p>
          <w:p w:rsidR="0012530B" w:rsidRPr="005D291F" w:rsidRDefault="00BA3E73" w:rsidP="00355692">
            <w:pPr>
              <w:ind w:left="360"/>
              <w:rPr>
                <w:rFonts w:ascii="Calibri" w:hAnsi="Calibri" w:cs="Calibri"/>
                <w:sz w:val="22"/>
                <w:szCs w:val="22"/>
              </w:rPr>
            </w:pPr>
            <w:r>
              <w:rPr>
                <w:rFonts w:ascii="Calibri" w:hAnsi="Calibri" w:cs="Calibri"/>
                <w:sz w:val="22"/>
                <w:szCs w:val="22"/>
              </w:rPr>
              <w:t xml:space="preserve">Sunday, </w:t>
            </w:r>
            <w:r w:rsidR="00355692">
              <w:rPr>
                <w:rFonts w:ascii="Calibri" w:hAnsi="Calibri" w:cs="Calibri"/>
                <w:sz w:val="22"/>
                <w:szCs w:val="22"/>
              </w:rPr>
              <w:t>June 25</w:t>
            </w:r>
            <w:r>
              <w:rPr>
                <w:rFonts w:ascii="Calibri" w:hAnsi="Calibri" w:cs="Calibri"/>
                <w:sz w:val="22"/>
                <w:szCs w:val="22"/>
              </w:rPr>
              <w:t>, 2017</w:t>
            </w:r>
            <w:r w:rsidR="0012530B" w:rsidRPr="005D291F">
              <w:rPr>
                <w:rFonts w:ascii="Calibri" w:hAnsi="Calibri" w:cs="Calibri"/>
                <w:sz w:val="22"/>
                <w:szCs w:val="22"/>
              </w:rPr>
              <w:t>, 2:00 pm</w:t>
            </w:r>
          </w:p>
        </w:tc>
      </w:tr>
    </w:tbl>
    <w:p w:rsidR="0012530B" w:rsidRPr="005D291F" w:rsidRDefault="0012530B" w:rsidP="0012530B">
      <w:pPr>
        <w:rPr>
          <w:rFonts w:ascii="Calibri" w:hAnsi="Calibri" w:cs="Calibri"/>
          <w:b/>
          <w:sz w:val="22"/>
          <w:szCs w:val="22"/>
        </w:rPr>
      </w:pPr>
    </w:p>
    <w:p w:rsidR="00BD3D24" w:rsidRDefault="00BD3D24" w:rsidP="0012530B">
      <w:pPr>
        <w:tabs>
          <w:tab w:val="left" w:pos="180"/>
        </w:tabs>
        <w:spacing w:after="120"/>
        <w:jc w:val="both"/>
        <w:rPr>
          <w:rFonts w:ascii="Calibri" w:hAnsi="Calibri"/>
          <w:b/>
          <w:sz w:val="23"/>
          <w:szCs w:val="23"/>
        </w:rPr>
      </w:pPr>
      <w:r>
        <w:rPr>
          <w:rFonts w:ascii="Calibri" w:hAnsi="Calibri"/>
          <w:b/>
          <w:sz w:val="23"/>
          <w:szCs w:val="23"/>
        </w:rPr>
        <w:t>Purpose:</w:t>
      </w:r>
    </w:p>
    <w:p w:rsidR="002343C2" w:rsidRDefault="002343C2" w:rsidP="0012530B">
      <w:pPr>
        <w:tabs>
          <w:tab w:val="left" w:pos="180"/>
        </w:tabs>
        <w:spacing w:after="120"/>
        <w:jc w:val="both"/>
        <w:rPr>
          <w:rFonts w:ascii="Proxima Nova" w:hAnsi="Proxima Nova" w:cs="Helvetica"/>
          <w:color w:val="333333"/>
        </w:rPr>
      </w:pPr>
      <w:r>
        <w:rPr>
          <w:rFonts w:ascii="Proxima Nova" w:hAnsi="Proxima Nova" w:cs="Helvetica"/>
          <w:color w:val="333333"/>
        </w:rPr>
        <w:t>TC 7.6 is concerned with the estimation, measurement, analysis, benchmarking, and management of whole building and building systems energy and water performance.</w:t>
      </w:r>
    </w:p>
    <w:p w:rsidR="00BA3E73" w:rsidRDefault="002343C2" w:rsidP="0012530B">
      <w:pPr>
        <w:tabs>
          <w:tab w:val="left" w:pos="180"/>
        </w:tabs>
        <w:spacing w:after="120"/>
        <w:jc w:val="both"/>
        <w:rPr>
          <w:rFonts w:ascii="Proxima Nova" w:hAnsi="Proxima Nova" w:cs="Helvetica"/>
          <w:color w:val="333333"/>
        </w:rPr>
      </w:pPr>
      <w:r>
        <w:rPr>
          <w:rFonts w:ascii="Proxima Nova" w:hAnsi="Proxima Nova" w:cs="Helvetica"/>
          <w:color w:val="333333"/>
        </w:rPr>
        <w:t xml:space="preserve">This sub-committee is cognizant in part for the publication </w:t>
      </w:r>
      <w:r w:rsidRPr="002343C2">
        <w:rPr>
          <w:rFonts w:ascii="Proxima Nova" w:hAnsi="Proxima Nova" w:cs="Helvetica"/>
          <w:i/>
          <w:color w:val="333333"/>
        </w:rPr>
        <w:t>“Procedures for Commercial Building Energy Audits</w:t>
      </w:r>
      <w:r>
        <w:rPr>
          <w:rFonts w:ascii="Proxima Nova" w:hAnsi="Proxima Nova" w:cs="Helvetica"/>
          <w:color w:val="333333"/>
        </w:rPr>
        <w:t xml:space="preserve">”, aka “PCBEA” aka “The Green Book.”  </w:t>
      </w:r>
    </w:p>
    <w:p w:rsidR="008B7753" w:rsidRPr="00C06C0D" w:rsidRDefault="008B7753" w:rsidP="0012530B">
      <w:pPr>
        <w:tabs>
          <w:tab w:val="left" w:pos="180"/>
        </w:tabs>
        <w:spacing w:after="120"/>
        <w:jc w:val="both"/>
        <w:rPr>
          <w:rFonts w:ascii="Calibri" w:hAnsi="Calibri"/>
          <w:b/>
          <w:sz w:val="23"/>
          <w:szCs w:val="23"/>
        </w:rPr>
      </w:pPr>
      <w:r>
        <w:rPr>
          <w:rFonts w:ascii="Calibri" w:hAnsi="Calibri"/>
          <w:b/>
          <w:sz w:val="23"/>
          <w:szCs w:val="23"/>
        </w:rPr>
        <w:t>Agenda</w:t>
      </w:r>
      <w:r w:rsidR="0025132F">
        <w:rPr>
          <w:rFonts w:ascii="Calibri" w:hAnsi="Calibri"/>
          <w:b/>
          <w:sz w:val="23"/>
          <w:szCs w:val="23"/>
        </w:rPr>
        <w:t>:</w:t>
      </w:r>
    </w:p>
    <w:p w:rsidR="0031031B" w:rsidRDefault="0031031B" w:rsidP="0012530B">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Introductions</w:t>
      </w:r>
      <w:r w:rsidR="004A06FC">
        <w:rPr>
          <w:rFonts w:ascii="Calibri" w:hAnsi="Calibri"/>
          <w:sz w:val="23"/>
          <w:szCs w:val="23"/>
        </w:rPr>
        <w:t xml:space="preserve">, </w:t>
      </w:r>
      <w:r w:rsidR="00AC23B9">
        <w:rPr>
          <w:rFonts w:ascii="Calibri" w:hAnsi="Calibri"/>
          <w:sz w:val="23"/>
          <w:szCs w:val="23"/>
        </w:rPr>
        <w:t>6</w:t>
      </w:r>
      <w:r w:rsidR="004A06FC">
        <w:rPr>
          <w:rFonts w:ascii="Calibri" w:hAnsi="Calibri"/>
          <w:sz w:val="23"/>
          <w:szCs w:val="23"/>
        </w:rPr>
        <w:t xml:space="preserve"> attendees</w:t>
      </w:r>
      <w:r w:rsidR="007C0CD0">
        <w:rPr>
          <w:rFonts w:ascii="Calibri" w:hAnsi="Calibri"/>
          <w:sz w:val="23"/>
          <w:szCs w:val="23"/>
        </w:rPr>
        <w:t xml:space="preserve">.  All attendees that provided contact information </w:t>
      </w:r>
      <w:r w:rsidR="00AC23B9">
        <w:rPr>
          <w:rFonts w:ascii="Calibri" w:hAnsi="Calibri"/>
          <w:sz w:val="23"/>
          <w:szCs w:val="23"/>
        </w:rPr>
        <w:t>have been added to</w:t>
      </w:r>
      <w:r w:rsidR="007C0CD0">
        <w:rPr>
          <w:rFonts w:ascii="Calibri" w:hAnsi="Calibri"/>
          <w:sz w:val="23"/>
          <w:szCs w:val="23"/>
        </w:rPr>
        <w:t xml:space="preserve"> the project Basecamp site.</w:t>
      </w:r>
    </w:p>
    <w:p w:rsidR="00892C34" w:rsidRDefault="00892C34" w:rsidP="00892C34">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Proposed Audits Standard SPC 211</w:t>
      </w:r>
    </w:p>
    <w:p w:rsidR="00892C34" w:rsidRDefault="00AC23B9" w:rsidP="00892C34">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Did not meet this conference.</w:t>
      </w:r>
    </w:p>
    <w:p w:rsidR="007C3D0E" w:rsidRPr="007C3D0E" w:rsidRDefault="00BA3E73" w:rsidP="007C3D0E">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Project timeline</w:t>
      </w:r>
      <w:r w:rsidR="004A06FC">
        <w:rPr>
          <w:rFonts w:ascii="Calibri" w:hAnsi="Calibri"/>
          <w:sz w:val="23"/>
          <w:szCs w:val="23"/>
        </w:rPr>
        <w:t xml:space="preserve">: </w:t>
      </w:r>
      <w:r w:rsidR="00AC23B9">
        <w:rPr>
          <w:rFonts w:ascii="Calibri" w:hAnsi="Calibri"/>
          <w:sz w:val="23"/>
          <w:szCs w:val="23"/>
        </w:rPr>
        <w:t>Approved by Standards for Public Review</w:t>
      </w:r>
      <w:r w:rsidR="004A06FC">
        <w:rPr>
          <w:rFonts w:ascii="Calibri" w:hAnsi="Calibri"/>
          <w:sz w:val="23"/>
          <w:szCs w:val="23"/>
        </w:rPr>
        <w:t>.</w:t>
      </w:r>
      <w:r w:rsidR="00AC23B9">
        <w:rPr>
          <w:rFonts w:ascii="Calibri" w:hAnsi="Calibri"/>
          <w:sz w:val="23"/>
          <w:szCs w:val="23"/>
        </w:rPr>
        <w:t xml:space="preserve">  Public review process should begin </w:t>
      </w:r>
      <w:r w:rsidR="0041773F">
        <w:rPr>
          <w:rFonts w:ascii="Calibri" w:hAnsi="Calibri"/>
          <w:sz w:val="23"/>
          <w:szCs w:val="23"/>
        </w:rPr>
        <w:t>imminently</w:t>
      </w:r>
      <w:r w:rsidR="00AC23B9">
        <w:rPr>
          <w:rFonts w:ascii="Calibri" w:hAnsi="Calibri"/>
          <w:sz w:val="23"/>
          <w:szCs w:val="23"/>
        </w:rPr>
        <w:t>.</w:t>
      </w:r>
    </w:p>
    <w:p w:rsidR="00C661CB" w:rsidRDefault="00FF4D55" w:rsidP="00C661CB">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Special Publication:  “Best Practices for Commercial Building Energy Audits</w:t>
      </w:r>
      <w:r w:rsidR="00BA3E73">
        <w:rPr>
          <w:rFonts w:ascii="Calibri" w:hAnsi="Calibri"/>
          <w:sz w:val="23"/>
          <w:szCs w:val="23"/>
        </w:rPr>
        <w:t>”</w:t>
      </w:r>
    </w:p>
    <w:p w:rsidR="00C661CB" w:rsidRDefault="00FF4D55" w:rsidP="00C661CB">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 xml:space="preserve">Procedures for Commercial Building Energy Audits, </w:t>
      </w:r>
      <w:r w:rsidR="00C661CB">
        <w:rPr>
          <w:rFonts w:ascii="Calibri" w:hAnsi="Calibri"/>
          <w:sz w:val="23"/>
          <w:szCs w:val="23"/>
        </w:rPr>
        <w:t>2</w:t>
      </w:r>
      <w:r w:rsidR="00C661CB" w:rsidRPr="00C661CB">
        <w:rPr>
          <w:rFonts w:ascii="Calibri" w:hAnsi="Calibri"/>
          <w:sz w:val="23"/>
          <w:szCs w:val="23"/>
          <w:vertAlign w:val="superscript"/>
        </w:rPr>
        <w:t>nd</w:t>
      </w:r>
      <w:r w:rsidR="00C661CB">
        <w:rPr>
          <w:rFonts w:ascii="Calibri" w:hAnsi="Calibri"/>
          <w:sz w:val="23"/>
          <w:szCs w:val="23"/>
        </w:rPr>
        <w:t xml:space="preserve"> Ed. published in 2011.  An updated publication has not yet been proposed to Pub-Ed council. </w:t>
      </w:r>
      <w:r w:rsidR="00A10D1F">
        <w:rPr>
          <w:rFonts w:ascii="Calibri" w:hAnsi="Calibri"/>
          <w:sz w:val="23"/>
          <w:szCs w:val="23"/>
        </w:rPr>
        <w:t xml:space="preserve"> </w:t>
      </w:r>
      <w:r>
        <w:rPr>
          <w:rFonts w:ascii="Calibri" w:hAnsi="Calibri"/>
          <w:sz w:val="23"/>
          <w:szCs w:val="23"/>
        </w:rPr>
        <w:t>“Best Practices publication will replace the PCBEA to reduce market confusion.</w:t>
      </w:r>
    </w:p>
    <w:p w:rsidR="0041773F" w:rsidRDefault="0041773F" w:rsidP="00C661CB">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Initial outline of content discussed:</w:t>
      </w:r>
    </w:p>
    <w:p w:rsidR="0041773F" w:rsidRDefault="00BA3E73" w:rsidP="0041773F">
      <w:pPr>
        <w:pStyle w:val="ListParagraph"/>
        <w:numPr>
          <w:ilvl w:val="2"/>
          <w:numId w:val="30"/>
        </w:numPr>
        <w:tabs>
          <w:tab w:val="left" w:pos="180"/>
        </w:tabs>
        <w:spacing w:after="120"/>
        <w:rPr>
          <w:rFonts w:ascii="Calibri" w:hAnsi="Calibri"/>
          <w:sz w:val="23"/>
          <w:szCs w:val="23"/>
        </w:rPr>
      </w:pPr>
      <w:r>
        <w:rPr>
          <w:rFonts w:ascii="Calibri" w:hAnsi="Calibri"/>
          <w:sz w:val="23"/>
          <w:szCs w:val="23"/>
        </w:rPr>
        <w:t>PCBEA content review</w:t>
      </w:r>
      <w:r w:rsidR="004A06FC">
        <w:rPr>
          <w:rFonts w:ascii="Calibri" w:hAnsi="Calibri"/>
          <w:sz w:val="23"/>
          <w:szCs w:val="23"/>
        </w:rPr>
        <w:t xml:space="preserve"> was performed; alignment and description of scope and purpose for 211 will be included, part one will be expanded to be more specific to which levels of audits should be applied and for what purpose.  </w:t>
      </w:r>
    </w:p>
    <w:p w:rsidR="0041773F" w:rsidRDefault="004A06FC" w:rsidP="0041773F">
      <w:pPr>
        <w:pStyle w:val="ListParagraph"/>
        <w:numPr>
          <w:ilvl w:val="2"/>
          <w:numId w:val="30"/>
        </w:numPr>
        <w:tabs>
          <w:tab w:val="left" w:pos="180"/>
        </w:tabs>
        <w:spacing w:after="120"/>
        <w:rPr>
          <w:rFonts w:ascii="Calibri" w:hAnsi="Calibri"/>
          <w:sz w:val="23"/>
          <w:szCs w:val="23"/>
        </w:rPr>
      </w:pPr>
      <w:r>
        <w:rPr>
          <w:rFonts w:ascii="Calibri" w:hAnsi="Calibri"/>
          <w:sz w:val="23"/>
          <w:szCs w:val="23"/>
        </w:rPr>
        <w:t xml:space="preserve">A section similar in scope to a user’s guide for 211 will be included but will focus on some of the areas of 211 that could use greater explanation outside of the AHJ language the standard is forced to use.  </w:t>
      </w:r>
    </w:p>
    <w:p w:rsidR="00FF4D55" w:rsidRPr="00FA3DC6" w:rsidRDefault="004A06FC" w:rsidP="00FA3DC6">
      <w:pPr>
        <w:pStyle w:val="ListParagraph"/>
        <w:numPr>
          <w:ilvl w:val="2"/>
          <w:numId w:val="30"/>
        </w:numPr>
        <w:tabs>
          <w:tab w:val="left" w:pos="180"/>
        </w:tabs>
        <w:spacing w:after="120"/>
        <w:rPr>
          <w:rFonts w:ascii="Calibri" w:hAnsi="Calibri"/>
          <w:sz w:val="23"/>
          <w:szCs w:val="23"/>
        </w:rPr>
      </w:pPr>
      <w:r>
        <w:rPr>
          <w:rFonts w:ascii="Calibri" w:hAnsi="Calibri"/>
          <w:sz w:val="23"/>
          <w:szCs w:val="23"/>
        </w:rPr>
        <w:t>Example filled out forms and example energy audits were also identified as opportunities for inclusion, as well as a better description of the purpose and sequence of performing a PEA.</w:t>
      </w:r>
    </w:p>
    <w:p w:rsidR="00B425AB" w:rsidRDefault="00BA3E73" w:rsidP="00FA3DC6">
      <w:pPr>
        <w:pStyle w:val="ListParagraph"/>
        <w:numPr>
          <w:ilvl w:val="2"/>
          <w:numId w:val="30"/>
        </w:numPr>
        <w:tabs>
          <w:tab w:val="left" w:pos="180"/>
        </w:tabs>
        <w:spacing w:after="120"/>
        <w:rPr>
          <w:rFonts w:ascii="Calibri" w:hAnsi="Calibri"/>
          <w:sz w:val="23"/>
          <w:szCs w:val="23"/>
        </w:rPr>
      </w:pPr>
      <w:r>
        <w:rPr>
          <w:rFonts w:ascii="Calibri" w:hAnsi="Calibri"/>
          <w:sz w:val="23"/>
          <w:szCs w:val="23"/>
        </w:rPr>
        <w:t>List of items and comments from 211 that were withheld from the Standard to be included in Best Practices publication</w:t>
      </w:r>
    </w:p>
    <w:p w:rsidR="00017C35" w:rsidRDefault="00017C35" w:rsidP="00FA3DC6">
      <w:pPr>
        <w:pStyle w:val="ListParagraph"/>
        <w:numPr>
          <w:ilvl w:val="2"/>
          <w:numId w:val="30"/>
        </w:numPr>
        <w:tabs>
          <w:tab w:val="left" w:pos="180"/>
        </w:tabs>
        <w:spacing w:after="120"/>
        <w:rPr>
          <w:rFonts w:ascii="Calibri" w:hAnsi="Calibri"/>
          <w:sz w:val="23"/>
          <w:szCs w:val="23"/>
        </w:rPr>
      </w:pPr>
      <w:r>
        <w:rPr>
          <w:rFonts w:ascii="Calibri" w:hAnsi="Calibri"/>
          <w:sz w:val="23"/>
          <w:szCs w:val="23"/>
        </w:rPr>
        <w:t>Benchmarking tools</w:t>
      </w:r>
    </w:p>
    <w:p w:rsidR="00017C35" w:rsidRDefault="00017C35" w:rsidP="00017C35">
      <w:pPr>
        <w:pStyle w:val="ListParagraph"/>
        <w:numPr>
          <w:ilvl w:val="3"/>
          <w:numId w:val="30"/>
        </w:numPr>
        <w:tabs>
          <w:tab w:val="left" w:pos="180"/>
        </w:tabs>
        <w:spacing w:after="120"/>
        <w:rPr>
          <w:rFonts w:ascii="Calibri" w:hAnsi="Calibri"/>
          <w:sz w:val="23"/>
          <w:szCs w:val="23"/>
        </w:rPr>
      </w:pPr>
      <w:r>
        <w:rPr>
          <w:rFonts w:ascii="Calibri" w:hAnsi="Calibri"/>
          <w:sz w:val="23"/>
          <w:szCs w:val="23"/>
        </w:rPr>
        <w:t>ESPM</w:t>
      </w:r>
    </w:p>
    <w:p w:rsidR="00017C35" w:rsidRDefault="00017C35" w:rsidP="00017C35">
      <w:pPr>
        <w:pStyle w:val="ListParagraph"/>
        <w:numPr>
          <w:ilvl w:val="3"/>
          <w:numId w:val="30"/>
        </w:numPr>
        <w:tabs>
          <w:tab w:val="left" w:pos="180"/>
        </w:tabs>
        <w:spacing w:after="120"/>
        <w:rPr>
          <w:rFonts w:ascii="Calibri" w:hAnsi="Calibri"/>
          <w:sz w:val="23"/>
          <w:szCs w:val="23"/>
        </w:rPr>
      </w:pPr>
      <w:r>
        <w:rPr>
          <w:rFonts w:ascii="Calibri" w:hAnsi="Calibri"/>
          <w:sz w:val="23"/>
          <w:szCs w:val="23"/>
        </w:rPr>
        <w:t>Building EQ</w:t>
      </w:r>
    </w:p>
    <w:p w:rsidR="00017C35" w:rsidRDefault="00017C35" w:rsidP="00017C35">
      <w:pPr>
        <w:pStyle w:val="ListParagraph"/>
        <w:numPr>
          <w:ilvl w:val="3"/>
          <w:numId w:val="30"/>
        </w:numPr>
        <w:tabs>
          <w:tab w:val="left" w:pos="180"/>
        </w:tabs>
        <w:spacing w:after="120"/>
        <w:rPr>
          <w:rFonts w:ascii="Calibri" w:hAnsi="Calibri"/>
          <w:sz w:val="23"/>
          <w:szCs w:val="23"/>
        </w:rPr>
      </w:pPr>
      <w:r>
        <w:rPr>
          <w:rFonts w:ascii="Calibri" w:hAnsi="Calibri"/>
          <w:sz w:val="23"/>
          <w:szCs w:val="23"/>
        </w:rPr>
        <w:t>DOE Asset Scoring Tool</w:t>
      </w:r>
    </w:p>
    <w:p w:rsidR="00017C35" w:rsidRDefault="00017C35" w:rsidP="00017C35">
      <w:pPr>
        <w:pStyle w:val="ListParagraph"/>
        <w:numPr>
          <w:ilvl w:val="2"/>
          <w:numId w:val="30"/>
        </w:numPr>
        <w:tabs>
          <w:tab w:val="left" w:pos="180"/>
        </w:tabs>
        <w:spacing w:after="120"/>
        <w:rPr>
          <w:rFonts w:ascii="Calibri" w:hAnsi="Calibri"/>
          <w:sz w:val="23"/>
          <w:szCs w:val="23"/>
        </w:rPr>
      </w:pPr>
      <w:r>
        <w:rPr>
          <w:rFonts w:ascii="Calibri" w:hAnsi="Calibri"/>
          <w:sz w:val="23"/>
          <w:szCs w:val="23"/>
        </w:rPr>
        <w:t>Software tools</w:t>
      </w:r>
    </w:p>
    <w:p w:rsidR="00017C35" w:rsidRDefault="00017C35" w:rsidP="00017C35">
      <w:pPr>
        <w:pStyle w:val="ListParagraph"/>
        <w:numPr>
          <w:ilvl w:val="3"/>
          <w:numId w:val="30"/>
        </w:numPr>
        <w:tabs>
          <w:tab w:val="left" w:pos="180"/>
        </w:tabs>
        <w:spacing w:after="120"/>
        <w:rPr>
          <w:rFonts w:ascii="Calibri" w:hAnsi="Calibri"/>
          <w:sz w:val="23"/>
          <w:szCs w:val="23"/>
        </w:rPr>
      </w:pPr>
      <w:r>
        <w:rPr>
          <w:rFonts w:ascii="Calibri" w:hAnsi="Calibri"/>
          <w:sz w:val="23"/>
          <w:szCs w:val="23"/>
        </w:rPr>
        <w:lastRenderedPageBreak/>
        <w:t>Energy Audit data collection software</w:t>
      </w:r>
    </w:p>
    <w:p w:rsidR="00017C35" w:rsidRPr="00017C35" w:rsidRDefault="00017C35" w:rsidP="00017C35">
      <w:pPr>
        <w:pStyle w:val="ListParagraph"/>
        <w:numPr>
          <w:ilvl w:val="3"/>
          <w:numId w:val="30"/>
        </w:numPr>
        <w:tabs>
          <w:tab w:val="left" w:pos="180"/>
        </w:tabs>
        <w:spacing w:after="120"/>
        <w:rPr>
          <w:rFonts w:ascii="Calibri" w:hAnsi="Calibri"/>
          <w:sz w:val="23"/>
          <w:szCs w:val="23"/>
        </w:rPr>
      </w:pPr>
      <w:r>
        <w:rPr>
          <w:rFonts w:ascii="Calibri" w:hAnsi="Calibri"/>
          <w:sz w:val="23"/>
          <w:szCs w:val="23"/>
        </w:rPr>
        <w:t>Virtual energy audits</w:t>
      </w:r>
    </w:p>
    <w:p w:rsidR="00FA3DC6" w:rsidRDefault="00FA3DC6" w:rsidP="00FA3DC6">
      <w:pPr>
        <w:pStyle w:val="ListParagraph"/>
        <w:numPr>
          <w:ilvl w:val="2"/>
          <w:numId w:val="30"/>
        </w:numPr>
        <w:tabs>
          <w:tab w:val="left" w:pos="180"/>
        </w:tabs>
        <w:spacing w:after="120"/>
        <w:rPr>
          <w:rFonts w:ascii="Calibri" w:hAnsi="Calibri"/>
          <w:sz w:val="23"/>
          <w:szCs w:val="23"/>
        </w:rPr>
      </w:pPr>
      <w:r>
        <w:rPr>
          <w:rFonts w:ascii="Calibri" w:hAnsi="Calibri"/>
          <w:sz w:val="23"/>
          <w:szCs w:val="23"/>
        </w:rPr>
        <w:t>What to look for / how to assess:</w:t>
      </w:r>
    </w:p>
    <w:p w:rsidR="00FA3DC6" w:rsidRDefault="00FA3DC6" w:rsidP="00FA3DC6">
      <w:pPr>
        <w:pStyle w:val="ListParagraph"/>
        <w:numPr>
          <w:ilvl w:val="3"/>
          <w:numId w:val="30"/>
        </w:numPr>
        <w:tabs>
          <w:tab w:val="left" w:pos="180"/>
        </w:tabs>
        <w:spacing w:after="120"/>
        <w:rPr>
          <w:rFonts w:ascii="Calibri" w:hAnsi="Calibri"/>
          <w:sz w:val="23"/>
          <w:szCs w:val="23"/>
        </w:rPr>
      </w:pPr>
      <w:r>
        <w:rPr>
          <w:rFonts w:ascii="Calibri" w:hAnsi="Calibri"/>
          <w:sz w:val="23"/>
          <w:szCs w:val="23"/>
        </w:rPr>
        <w:t>Airside</w:t>
      </w:r>
    </w:p>
    <w:p w:rsidR="00FA3DC6" w:rsidRDefault="00FA3DC6" w:rsidP="00FA3DC6">
      <w:pPr>
        <w:pStyle w:val="ListParagraph"/>
        <w:numPr>
          <w:ilvl w:val="3"/>
          <w:numId w:val="30"/>
        </w:numPr>
        <w:tabs>
          <w:tab w:val="left" w:pos="180"/>
        </w:tabs>
        <w:spacing w:after="120"/>
        <w:rPr>
          <w:rFonts w:ascii="Calibri" w:hAnsi="Calibri"/>
          <w:sz w:val="23"/>
          <w:szCs w:val="23"/>
        </w:rPr>
      </w:pPr>
      <w:r>
        <w:rPr>
          <w:rFonts w:ascii="Calibri" w:hAnsi="Calibri"/>
          <w:sz w:val="23"/>
          <w:szCs w:val="23"/>
        </w:rPr>
        <w:t>Waterside</w:t>
      </w:r>
    </w:p>
    <w:p w:rsidR="00FA3DC6" w:rsidRDefault="00FA3DC6" w:rsidP="00FA3DC6">
      <w:pPr>
        <w:pStyle w:val="ListParagraph"/>
        <w:numPr>
          <w:ilvl w:val="3"/>
          <w:numId w:val="30"/>
        </w:numPr>
        <w:tabs>
          <w:tab w:val="left" w:pos="180"/>
        </w:tabs>
        <w:spacing w:after="120"/>
        <w:rPr>
          <w:rFonts w:ascii="Calibri" w:hAnsi="Calibri"/>
          <w:sz w:val="23"/>
          <w:szCs w:val="23"/>
        </w:rPr>
      </w:pPr>
      <w:r>
        <w:rPr>
          <w:rFonts w:ascii="Calibri" w:hAnsi="Calibri"/>
          <w:sz w:val="23"/>
          <w:szCs w:val="23"/>
        </w:rPr>
        <w:t>DHW</w:t>
      </w:r>
    </w:p>
    <w:p w:rsidR="00FA3DC6" w:rsidRDefault="00FA3DC6" w:rsidP="00FA3DC6">
      <w:pPr>
        <w:pStyle w:val="ListParagraph"/>
        <w:numPr>
          <w:ilvl w:val="3"/>
          <w:numId w:val="30"/>
        </w:numPr>
        <w:tabs>
          <w:tab w:val="left" w:pos="180"/>
        </w:tabs>
        <w:spacing w:after="120"/>
        <w:rPr>
          <w:rFonts w:ascii="Calibri" w:hAnsi="Calibri"/>
          <w:sz w:val="23"/>
          <w:szCs w:val="23"/>
        </w:rPr>
      </w:pPr>
      <w:r>
        <w:rPr>
          <w:rFonts w:ascii="Calibri" w:hAnsi="Calibri"/>
          <w:sz w:val="23"/>
          <w:szCs w:val="23"/>
        </w:rPr>
        <w:t>Lighting, etc.</w:t>
      </w:r>
    </w:p>
    <w:p w:rsidR="00FA3DC6" w:rsidRDefault="00FA3DC6" w:rsidP="00FA3DC6">
      <w:pPr>
        <w:pStyle w:val="ListParagraph"/>
        <w:numPr>
          <w:ilvl w:val="2"/>
          <w:numId w:val="30"/>
        </w:numPr>
        <w:tabs>
          <w:tab w:val="left" w:pos="180"/>
        </w:tabs>
        <w:spacing w:after="120"/>
        <w:rPr>
          <w:rFonts w:ascii="Calibri" w:hAnsi="Calibri"/>
          <w:sz w:val="23"/>
          <w:szCs w:val="23"/>
        </w:rPr>
      </w:pPr>
      <w:r>
        <w:rPr>
          <w:rFonts w:ascii="Calibri" w:hAnsi="Calibri"/>
          <w:sz w:val="23"/>
          <w:szCs w:val="23"/>
        </w:rPr>
        <w:t>Example walkthrough workflow</w:t>
      </w:r>
    </w:p>
    <w:p w:rsidR="00017C35" w:rsidRDefault="00017C35" w:rsidP="00FA3DC6">
      <w:pPr>
        <w:pStyle w:val="ListParagraph"/>
        <w:numPr>
          <w:ilvl w:val="2"/>
          <w:numId w:val="30"/>
        </w:numPr>
        <w:tabs>
          <w:tab w:val="left" w:pos="180"/>
        </w:tabs>
        <w:spacing w:after="120"/>
        <w:rPr>
          <w:rFonts w:ascii="Calibri" w:hAnsi="Calibri"/>
          <w:sz w:val="23"/>
          <w:szCs w:val="23"/>
        </w:rPr>
      </w:pPr>
      <w:r>
        <w:rPr>
          <w:rFonts w:ascii="Calibri" w:hAnsi="Calibri"/>
          <w:sz w:val="23"/>
          <w:szCs w:val="23"/>
        </w:rPr>
        <w:t>Typical roadblocks in the field</w:t>
      </w:r>
    </w:p>
    <w:p w:rsidR="00017C35" w:rsidRDefault="00017C35" w:rsidP="00017C35">
      <w:pPr>
        <w:pStyle w:val="ListParagraph"/>
        <w:numPr>
          <w:ilvl w:val="3"/>
          <w:numId w:val="30"/>
        </w:numPr>
        <w:tabs>
          <w:tab w:val="left" w:pos="180"/>
        </w:tabs>
        <w:spacing w:after="120"/>
        <w:rPr>
          <w:rFonts w:ascii="Calibri" w:hAnsi="Calibri"/>
          <w:sz w:val="23"/>
          <w:szCs w:val="23"/>
        </w:rPr>
      </w:pPr>
      <w:r>
        <w:rPr>
          <w:rFonts w:ascii="Calibri" w:hAnsi="Calibri"/>
          <w:sz w:val="23"/>
          <w:szCs w:val="23"/>
        </w:rPr>
        <w:t xml:space="preserve">Estimates </w:t>
      </w:r>
    </w:p>
    <w:p w:rsidR="00017C35" w:rsidRDefault="00017C35" w:rsidP="00017C35">
      <w:pPr>
        <w:pStyle w:val="ListParagraph"/>
        <w:numPr>
          <w:ilvl w:val="3"/>
          <w:numId w:val="30"/>
        </w:numPr>
        <w:tabs>
          <w:tab w:val="left" w:pos="180"/>
        </w:tabs>
        <w:spacing w:after="120"/>
        <w:rPr>
          <w:rFonts w:ascii="Calibri" w:hAnsi="Calibri"/>
          <w:sz w:val="23"/>
          <w:szCs w:val="23"/>
        </w:rPr>
      </w:pPr>
      <w:r>
        <w:rPr>
          <w:rFonts w:ascii="Calibri" w:hAnsi="Calibri"/>
          <w:sz w:val="23"/>
          <w:szCs w:val="23"/>
        </w:rPr>
        <w:t>Lack of BAS trends</w:t>
      </w:r>
    </w:p>
    <w:p w:rsidR="00017C35" w:rsidRDefault="00017C35" w:rsidP="00017C35">
      <w:pPr>
        <w:pStyle w:val="ListParagraph"/>
        <w:numPr>
          <w:ilvl w:val="3"/>
          <w:numId w:val="30"/>
        </w:numPr>
        <w:tabs>
          <w:tab w:val="left" w:pos="180"/>
        </w:tabs>
        <w:spacing w:after="120"/>
        <w:rPr>
          <w:rFonts w:ascii="Calibri" w:hAnsi="Calibri"/>
          <w:sz w:val="23"/>
          <w:szCs w:val="23"/>
        </w:rPr>
      </w:pPr>
      <w:r>
        <w:rPr>
          <w:rFonts w:ascii="Calibri" w:hAnsi="Calibri"/>
          <w:sz w:val="23"/>
          <w:szCs w:val="23"/>
        </w:rPr>
        <w:t>Rules of thumb</w:t>
      </w:r>
    </w:p>
    <w:p w:rsidR="00017C35" w:rsidRPr="00017C35" w:rsidRDefault="00017C35" w:rsidP="00017C35">
      <w:pPr>
        <w:pStyle w:val="ListParagraph"/>
        <w:numPr>
          <w:ilvl w:val="3"/>
          <w:numId w:val="30"/>
        </w:numPr>
        <w:tabs>
          <w:tab w:val="left" w:pos="180"/>
        </w:tabs>
        <w:spacing w:after="120"/>
        <w:rPr>
          <w:rFonts w:ascii="Calibri" w:hAnsi="Calibri"/>
          <w:sz w:val="23"/>
          <w:szCs w:val="23"/>
        </w:rPr>
      </w:pPr>
      <w:r>
        <w:rPr>
          <w:rFonts w:ascii="Calibri" w:hAnsi="Calibri"/>
          <w:sz w:val="23"/>
          <w:szCs w:val="23"/>
        </w:rPr>
        <w:t>Assumptions and why</w:t>
      </w:r>
    </w:p>
    <w:p w:rsidR="00FA3DC6" w:rsidRDefault="00FA3DC6" w:rsidP="00FA3DC6">
      <w:pPr>
        <w:pStyle w:val="ListParagraph"/>
        <w:numPr>
          <w:ilvl w:val="2"/>
          <w:numId w:val="30"/>
        </w:numPr>
        <w:tabs>
          <w:tab w:val="left" w:pos="180"/>
        </w:tabs>
        <w:spacing w:after="120"/>
        <w:rPr>
          <w:rFonts w:ascii="Calibri" w:hAnsi="Calibri"/>
          <w:sz w:val="23"/>
          <w:szCs w:val="23"/>
        </w:rPr>
      </w:pPr>
      <w:r>
        <w:rPr>
          <w:rFonts w:ascii="Calibri" w:hAnsi="Calibri"/>
          <w:sz w:val="23"/>
          <w:szCs w:val="23"/>
        </w:rPr>
        <w:t>Example BAS assessment workflow (including how is this different from RCx investigation phase</w:t>
      </w:r>
      <w:r w:rsidR="0077221F">
        <w:rPr>
          <w:rFonts w:ascii="Calibri" w:hAnsi="Calibri"/>
          <w:sz w:val="23"/>
          <w:szCs w:val="23"/>
        </w:rPr>
        <w:t>)</w:t>
      </w:r>
    </w:p>
    <w:p w:rsidR="00FA3DC6" w:rsidRDefault="00FA3DC6" w:rsidP="00FA3DC6">
      <w:pPr>
        <w:pStyle w:val="ListParagraph"/>
        <w:numPr>
          <w:ilvl w:val="2"/>
          <w:numId w:val="30"/>
        </w:numPr>
        <w:tabs>
          <w:tab w:val="left" w:pos="180"/>
        </w:tabs>
        <w:spacing w:after="120"/>
        <w:rPr>
          <w:rFonts w:ascii="Calibri" w:hAnsi="Calibri"/>
          <w:sz w:val="23"/>
          <w:szCs w:val="23"/>
        </w:rPr>
      </w:pPr>
      <w:r>
        <w:rPr>
          <w:rFonts w:ascii="Calibri" w:hAnsi="Calibri"/>
          <w:sz w:val="23"/>
          <w:szCs w:val="23"/>
        </w:rPr>
        <w:t>Building EQ workflow</w:t>
      </w:r>
    </w:p>
    <w:p w:rsidR="00017C35" w:rsidRDefault="00017C35" w:rsidP="00FA3DC6">
      <w:pPr>
        <w:pStyle w:val="ListParagraph"/>
        <w:numPr>
          <w:ilvl w:val="2"/>
          <w:numId w:val="30"/>
        </w:numPr>
        <w:tabs>
          <w:tab w:val="left" w:pos="180"/>
        </w:tabs>
        <w:spacing w:after="120"/>
        <w:rPr>
          <w:rFonts w:ascii="Calibri" w:hAnsi="Calibri"/>
          <w:sz w:val="23"/>
          <w:szCs w:val="23"/>
        </w:rPr>
      </w:pPr>
      <w:r>
        <w:rPr>
          <w:rFonts w:ascii="Calibri" w:hAnsi="Calibri"/>
          <w:sz w:val="23"/>
          <w:szCs w:val="23"/>
        </w:rPr>
        <w:t>EEMs from Standard 100, Guideline 36P, TC 7.3 O&amp;M, other method to derive EEMs, FIMs, and sample calculations for EEMs (not just the easy ones)</w:t>
      </w:r>
    </w:p>
    <w:p w:rsidR="00017C35" w:rsidRPr="00FA3DC6" w:rsidRDefault="00017C35" w:rsidP="00FA3DC6">
      <w:pPr>
        <w:pStyle w:val="ListParagraph"/>
        <w:numPr>
          <w:ilvl w:val="2"/>
          <w:numId w:val="30"/>
        </w:numPr>
        <w:tabs>
          <w:tab w:val="left" w:pos="180"/>
        </w:tabs>
        <w:spacing w:after="120"/>
        <w:rPr>
          <w:rFonts w:ascii="Calibri" w:hAnsi="Calibri"/>
          <w:sz w:val="23"/>
          <w:szCs w:val="23"/>
        </w:rPr>
      </w:pPr>
      <w:r>
        <w:rPr>
          <w:rFonts w:ascii="Calibri" w:hAnsi="Calibri"/>
          <w:sz w:val="23"/>
          <w:szCs w:val="23"/>
        </w:rPr>
        <w:t>Calibrated energy modeling advise for deeper level 2 and level 3 audits</w:t>
      </w:r>
    </w:p>
    <w:p w:rsidR="00FA3DC6" w:rsidRDefault="00FA3DC6" w:rsidP="00FA3DC6">
      <w:pPr>
        <w:pStyle w:val="ListParagraph"/>
        <w:numPr>
          <w:ilvl w:val="2"/>
          <w:numId w:val="30"/>
        </w:numPr>
        <w:tabs>
          <w:tab w:val="left" w:pos="180"/>
        </w:tabs>
        <w:spacing w:after="120"/>
        <w:rPr>
          <w:rFonts w:ascii="Calibri" w:hAnsi="Calibri"/>
          <w:sz w:val="23"/>
          <w:szCs w:val="23"/>
        </w:rPr>
      </w:pPr>
      <w:r>
        <w:rPr>
          <w:rFonts w:ascii="Calibri" w:hAnsi="Calibri"/>
          <w:sz w:val="23"/>
          <w:szCs w:val="23"/>
        </w:rPr>
        <w:t>Certification &amp; education resources on energy audits (ALI materials, ASHRAE tech portal, etc.)</w:t>
      </w:r>
    </w:p>
    <w:p w:rsidR="00017C35" w:rsidRDefault="00017C35" w:rsidP="00017C35">
      <w:pPr>
        <w:pStyle w:val="ListParagraph"/>
        <w:tabs>
          <w:tab w:val="left" w:pos="180"/>
        </w:tabs>
        <w:spacing w:after="120"/>
        <w:ind w:left="2160"/>
        <w:rPr>
          <w:rFonts w:ascii="Calibri" w:hAnsi="Calibri"/>
          <w:sz w:val="23"/>
          <w:szCs w:val="23"/>
        </w:rPr>
      </w:pPr>
    </w:p>
    <w:p w:rsidR="00B425AB" w:rsidRDefault="0041773F" w:rsidP="00017C35">
      <w:pPr>
        <w:pStyle w:val="ListParagraph"/>
        <w:numPr>
          <w:ilvl w:val="1"/>
          <w:numId w:val="30"/>
        </w:numPr>
        <w:tabs>
          <w:tab w:val="left" w:pos="180"/>
        </w:tabs>
        <w:spacing w:after="120"/>
        <w:rPr>
          <w:rFonts w:ascii="Calibri" w:hAnsi="Calibri"/>
          <w:sz w:val="23"/>
          <w:szCs w:val="23"/>
        </w:rPr>
      </w:pPr>
      <w:r>
        <w:rPr>
          <w:rFonts w:ascii="Calibri" w:hAnsi="Calibri"/>
          <w:sz w:val="23"/>
          <w:szCs w:val="23"/>
        </w:rPr>
        <w:t xml:space="preserve">ALI is looking for curriculum for the BEAP and this could serve that purpose; </w:t>
      </w:r>
    </w:p>
    <w:p w:rsidR="00017C35" w:rsidRPr="00017C35" w:rsidRDefault="00017C35" w:rsidP="00017C35">
      <w:pPr>
        <w:pStyle w:val="ListParagraph"/>
        <w:tabs>
          <w:tab w:val="left" w:pos="180"/>
        </w:tabs>
        <w:spacing w:after="120"/>
        <w:ind w:left="1440"/>
        <w:rPr>
          <w:rFonts w:ascii="Calibri" w:hAnsi="Calibri"/>
          <w:sz w:val="23"/>
          <w:szCs w:val="23"/>
        </w:rPr>
      </w:pPr>
    </w:p>
    <w:p w:rsidR="003E499C" w:rsidRPr="004A06FC" w:rsidRDefault="00B425AB" w:rsidP="004A06FC">
      <w:pPr>
        <w:pStyle w:val="ListParagraph"/>
        <w:numPr>
          <w:ilvl w:val="1"/>
          <w:numId w:val="30"/>
        </w:numPr>
        <w:tabs>
          <w:tab w:val="left" w:pos="180"/>
        </w:tabs>
        <w:spacing w:after="120"/>
        <w:rPr>
          <w:rFonts w:ascii="Calibri" w:hAnsi="Calibri"/>
          <w:sz w:val="23"/>
          <w:szCs w:val="23"/>
        </w:rPr>
      </w:pPr>
      <w:r>
        <w:rPr>
          <w:rFonts w:ascii="Calibri" w:hAnsi="Calibri"/>
          <w:sz w:val="23"/>
          <w:szCs w:val="23"/>
        </w:rPr>
        <w:t xml:space="preserve">Committee conference calls / digital meetings schedule development for </w:t>
      </w:r>
      <w:proofErr w:type="gramStart"/>
      <w:r w:rsidR="00017C35">
        <w:rPr>
          <w:rFonts w:ascii="Calibri" w:hAnsi="Calibri"/>
          <w:sz w:val="23"/>
          <w:szCs w:val="23"/>
        </w:rPr>
        <w:t>Fall</w:t>
      </w:r>
      <w:proofErr w:type="gramEnd"/>
      <w:r>
        <w:rPr>
          <w:rFonts w:ascii="Calibri" w:hAnsi="Calibri"/>
          <w:sz w:val="23"/>
          <w:szCs w:val="23"/>
        </w:rPr>
        <w:t xml:space="preserve"> 2017</w:t>
      </w:r>
      <w:r w:rsidR="004A06FC">
        <w:rPr>
          <w:rFonts w:ascii="Calibri" w:hAnsi="Calibri"/>
          <w:sz w:val="23"/>
          <w:szCs w:val="23"/>
        </w:rPr>
        <w:t>:  Nate will send out a doodle poll via Basecamp and start regular monthly conference calls.  The first order of business will be the development of an outline/TOC for the new publication and task group identification to work on each section of the best practices book.</w:t>
      </w:r>
      <w:bookmarkStart w:id="0" w:name="_GoBack"/>
      <w:bookmarkEnd w:id="0"/>
    </w:p>
    <w:sectPr w:rsidR="003E499C" w:rsidRPr="004A06FC" w:rsidSect="0012530B">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E08" w:rsidRDefault="009A0E08" w:rsidP="0004399A">
      <w:r>
        <w:separator/>
      </w:r>
    </w:p>
  </w:endnote>
  <w:endnote w:type="continuationSeparator" w:id="0">
    <w:p w:rsidR="009A0E08" w:rsidRDefault="009A0E08"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roxima Nov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E08" w:rsidRDefault="009A0E08" w:rsidP="0004399A">
      <w:r>
        <w:separator/>
      </w:r>
    </w:p>
  </w:footnote>
  <w:footnote w:type="continuationSeparator" w:id="0">
    <w:p w:rsidR="009A0E08" w:rsidRDefault="009A0E08" w:rsidP="00043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091E" w:rsidRPr="00C516EF" w:rsidRDefault="00C3091E" w:rsidP="006F48D5">
    <w:pPr>
      <w:pStyle w:val="Header"/>
      <w:rPr>
        <w:rFonts w:ascii="Calibri" w:hAnsi="Calibri"/>
        <w:sz w:val="23"/>
        <w:szCs w:val="23"/>
      </w:rPr>
    </w:pPr>
    <w:r>
      <w:rPr>
        <w:rFonts w:ascii="Calibri" w:hAnsi="Calibri"/>
        <w:sz w:val="23"/>
        <w:szCs w:val="23"/>
      </w:rPr>
      <w:t>ASHRAE TC 7.6 – Commercial Building Energy Audits</w:t>
    </w:r>
  </w:p>
  <w:p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77221F">
      <w:rPr>
        <w:rFonts w:ascii="Calibri" w:hAnsi="Calibri"/>
        <w:noProof/>
        <w:sz w:val="23"/>
        <w:szCs w:val="23"/>
      </w:rPr>
      <w:t>2</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77221F">
      <w:rPr>
        <w:rFonts w:ascii="Calibri" w:hAnsi="Calibri"/>
        <w:noProof/>
        <w:sz w:val="23"/>
        <w:szCs w:val="23"/>
      </w:rPr>
      <w:t>2</w:t>
    </w:r>
    <w:r w:rsidRPr="00C516EF">
      <w:rPr>
        <w:rFonts w:ascii="Calibri" w:hAnsi="Calibri"/>
        <w:sz w:val="23"/>
        <w:szCs w:val="23"/>
      </w:rPr>
      <w:fldChar w:fldCharType="end"/>
    </w:r>
  </w:p>
  <w:p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15:restartNumberingAfterBreak="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5E4A94"/>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5" w15:restartNumberingAfterBreak="0">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1"/>
  </w:num>
  <w:num w:numId="3">
    <w:abstractNumId w:val="32"/>
  </w:num>
  <w:num w:numId="4">
    <w:abstractNumId w:val="8"/>
  </w:num>
  <w:num w:numId="5">
    <w:abstractNumId w:val="23"/>
  </w:num>
  <w:num w:numId="6">
    <w:abstractNumId w:val="29"/>
  </w:num>
  <w:num w:numId="7">
    <w:abstractNumId w:val="24"/>
  </w:num>
  <w:num w:numId="8">
    <w:abstractNumId w:val="36"/>
  </w:num>
  <w:num w:numId="9">
    <w:abstractNumId w:val="0"/>
  </w:num>
  <w:num w:numId="10">
    <w:abstractNumId w:val="44"/>
  </w:num>
  <w:num w:numId="11">
    <w:abstractNumId w:val="13"/>
  </w:num>
  <w:num w:numId="12">
    <w:abstractNumId w:val="4"/>
  </w:num>
  <w:num w:numId="13">
    <w:abstractNumId w:val="1"/>
  </w:num>
  <w:num w:numId="14">
    <w:abstractNumId w:val="7"/>
  </w:num>
  <w:num w:numId="15">
    <w:abstractNumId w:val="40"/>
  </w:num>
  <w:num w:numId="16">
    <w:abstractNumId w:val="25"/>
  </w:num>
  <w:num w:numId="17">
    <w:abstractNumId w:val="17"/>
  </w:num>
  <w:num w:numId="18">
    <w:abstractNumId w:val="35"/>
  </w:num>
  <w:num w:numId="19">
    <w:abstractNumId w:val="9"/>
  </w:num>
  <w:num w:numId="20">
    <w:abstractNumId w:val="45"/>
  </w:num>
  <w:num w:numId="21">
    <w:abstractNumId w:val="20"/>
  </w:num>
  <w:num w:numId="22">
    <w:abstractNumId w:val="30"/>
  </w:num>
  <w:num w:numId="23">
    <w:abstractNumId w:val="10"/>
  </w:num>
  <w:num w:numId="2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1"/>
  </w:num>
  <w:num w:numId="28">
    <w:abstractNumId w:val="14"/>
  </w:num>
  <w:num w:numId="29">
    <w:abstractNumId w:val="21"/>
  </w:num>
  <w:num w:numId="30">
    <w:abstractNumId w:val="34"/>
  </w:num>
  <w:num w:numId="31">
    <w:abstractNumId w:val="42"/>
  </w:num>
  <w:num w:numId="32">
    <w:abstractNumId w:val="11"/>
  </w:num>
  <w:num w:numId="3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26"/>
  </w:num>
  <w:num w:numId="36">
    <w:abstractNumId w:val="18"/>
  </w:num>
  <w:num w:numId="37">
    <w:abstractNumId w:val="16"/>
  </w:num>
  <w:num w:numId="38">
    <w:abstractNumId w:val="19"/>
  </w:num>
  <w:num w:numId="39">
    <w:abstractNumId w:val="33"/>
  </w:num>
  <w:num w:numId="40">
    <w:abstractNumId w:val="27"/>
  </w:num>
  <w:num w:numId="41">
    <w:abstractNumId w:val="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2"/>
  </w:num>
  <w:num w:numId="45">
    <w:abstractNumId w:val="4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2B5"/>
    <w:rsid w:val="00014385"/>
    <w:rsid w:val="000148E7"/>
    <w:rsid w:val="00017C35"/>
    <w:rsid w:val="000203F8"/>
    <w:rsid w:val="00024EDF"/>
    <w:rsid w:val="0004399A"/>
    <w:rsid w:val="00044952"/>
    <w:rsid w:val="00047DA0"/>
    <w:rsid w:val="000572C4"/>
    <w:rsid w:val="000573AD"/>
    <w:rsid w:val="00062894"/>
    <w:rsid w:val="000635E9"/>
    <w:rsid w:val="0006458A"/>
    <w:rsid w:val="0006491A"/>
    <w:rsid w:val="00065AEA"/>
    <w:rsid w:val="000677AA"/>
    <w:rsid w:val="00080489"/>
    <w:rsid w:val="0008448E"/>
    <w:rsid w:val="00091EB8"/>
    <w:rsid w:val="000A1365"/>
    <w:rsid w:val="000A254E"/>
    <w:rsid w:val="000B4335"/>
    <w:rsid w:val="000B6880"/>
    <w:rsid w:val="000C1BB5"/>
    <w:rsid w:val="000C1D64"/>
    <w:rsid w:val="000D0DF0"/>
    <w:rsid w:val="000D362F"/>
    <w:rsid w:val="000D47F9"/>
    <w:rsid w:val="000D69D9"/>
    <w:rsid w:val="000E038F"/>
    <w:rsid w:val="000E2ED8"/>
    <w:rsid w:val="000E5418"/>
    <w:rsid w:val="000E6B5D"/>
    <w:rsid w:val="000F249D"/>
    <w:rsid w:val="00114B20"/>
    <w:rsid w:val="00115009"/>
    <w:rsid w:val="00116E95"/>
    <w:rsid w:val="00120684"/>
    <w:rsid w:val="00120AAF"/>
    <w:rsid w:val="0012530B"/>
    <w:rsid w:val="00132442"/>
    <w:rsid w:val="00133B45"/>
    <w:rsid w:val="001376C0"/>
    <w:rsid w:val="00152464"/>
    <w:rsid w:val="001539C6"/>
    <w:rsid w:val="00155FE0"/>
    <w:rsid w:val="00161570"/>
    <w:rsid w:val="001868FA"/>
    <w:rsid w:val="0019076E"/>
    <w:rsid w:val="001924EE"/>
    <w:rsid w:val="00192BA2"/>
    <w:rsid w:val="001A24CE"/>
    <w:rsid w:val="001A5E09"/>
    <w:rsid w:val="001B2A46"/>
    <w:rsid w:val="001D6EF2"/>
    <w:rsid w:val="001D776D"/>
    <w:rsid w:val="001F17A8"/>
    <w:rsid w:val="001F21C1"/>
    <w:rsid w:val="001F63E5"/>
    <w:rsid w:val="001F7EB6"/>
    <w:rsid w:val="002002F4"/>
    <w:rsid w:val="00213B11"/>
    <w:rsid w:val="002233A1"/>
    <w:rsid w:val="00232467"/>
    <w:rsid w:val="002343C2"/>
    <w:rsid w:val="00240416"/>
    <w:rsid w:val="00244138"/>
    <w:rsid w:val="0025132F"/>
    <w:rsid w:val="00251C58"/>
    <w:rsid w:val="00253BE0"/>
    <w:rsid w:val="00264638"/>
    <w:rsid w:val="002668C9"/>
    <w:rsid w:val="00266E91"/>
    <w:rsid w:val="00272CBE"/>
    <w:rsid w:val="002735C0"/>
    <w:rsid w:val="00275B9B"/>
    <w:rsid w:val="0028267D"/>
    <w:rsid w:val="00282D61"/>
    <w:rsid w:val="00286101"/>
    <w:rsid w:val="00296F33"/>
    <w:rsid w:val="002B2BC1"/>
    <w:rsid w:val="002C02EF"/>
    <w:rsid w:val="002C3B77"/>
    <w:rsid w:val="002D1344"/>
    <w:rsid w:val="002D6621"/>
    <w:rsid w:val="002E771A"/>
    <w:rsid w:val="002F15FD"/>
    <w:rsid w:val="002F4F82"/>
    <w:rsid w:val="002F566A"/>
    <w:rsid w:val="0031031B"/>
    <w:rsid w:val="003118D2"/>
    <w:rsid w:val="00332619"/>
    <w:rsid w:val="0033629C"/>
    <w:rsid w:val="00343A42"/>
    <w:rsid w:val="0034590C"/>
    <w:rsid w:val="003460A5"/>
    <w:rsid w:val="00352716"/>
    <w:rsid w:val="003549B0"/>
    <w:rsid w:val="00355692"/>
    <w:rsid w:val="00361C8B"/>
    <w:rsid w:val="003624CD"/>
    <w:rsid w:val="0036286B"/>
    <w:rsid w:val="0036446C"/>
    <w:rsid w:val="00371188"/>
    <w:rsid w:val="00380EC9"/>
    <w:rsid w:val="00385069"/>
    <w:rsid w:val="003872BD"/>
    <w:rsid w:val="00392638"/>
    <w:rsid w:val="0039511C"/>
    <w:rsid w:val="003958C8"/>
    <w:rsid w:val="003A0724"/>
    <w:rsid w:val="003A1D1C"/>
    <w:rsid w:val="003A4153"/>
    <w:rsid w:val="003B498C"/>
    <w:rsid w:val="003B534B"/>
    <w:rsid w:val="003B6784"/>
    <w:rsid w:val="003C3843"/>
    <w:rsid w:val="003D1C77"/>
    <w:rsid w:val="003D6858"/>
    <w:rsid w:val="003E499C"/>
    <w:rsid w:val="003F5509"/>
    <w:rsid w:val="003F5851"/>
    <w:rsid w:val="003F661C"/>
    <w:rsid w:val="00407E9F"/>
    <w:rsid w:val="004152B5"/>
    <w:rsid w:val="0041773F"/>
    <w:rsid w:val="0042517C"/>
    <w:rsid w:val="004265A2"/>
    <w:rsid w:val="004307F3"/>
    <w:rsid w:val="00435656"/>
    <w:rsid w:val="00443F0A"/>
    <w:rsid w:val="00444DC9"/>
    <w:rsid w:val="00451BF5"/>
    <w:rsid w:val="0045490A"/>
    <w:rsid w:val="00464AB8"/>
    <w:rsid w:val="0047152C"/>
    <w:rsid w:val="00474C98"/>
    <w:rsid w:val="00475755"/>
    <w:rsid w:val="00482BB2"/>
    <w:rsid w:val="004929CA"/>
    <w:rsid w:val="004A06FC"/>
    <w:rsid w:val="004A4270"/>
    <w:rsid w:val="004A4AD0"/>
    <w:rsid w:val="004B02D7"/>
    <w:rsid w:val="004B2299"/>
    <w:rsid w:val="004B2C35"/>
    <w:rsid w:val="004B3E5F"/>
    <w:rsid w:val="004B606E"/>
    <w:rsid w:val="004C319F"/>
    <w:rsid w:val="004C6AD3"/>
    <w:rsid w:val="004F102A"/>
    <w:rsid w:val="004F5642"/>
    <w:rsid w:val="004F6A31"/>
    <w:rsid w:val="0051186A"/>
    <w:rsid w:val="00532369"/>
    <w:rsid w:val="00537C67"/>
    <w:rsid w:val="00554E41"/>
    <w:rsid w:val="00565ADC"/>
    <w:rsid w:val="00567610"/>
    <w:rsid w:val="0057308A"/>
    <w:rsid w:val="005930B7"/>
    <w:rsid w:val="00595AB6"/>
    <w:rsid w:val="005A769E"/>
    <w:rsid w:val="005C293F"/>
    <w:rsid w:val="005D5E77"/>
    <w:rsid w:val="005E42D9"/>
    <w:rsid w:val="005E5DB0"/>
    <w:rsid w:val="005F312C"/>
    <w:rsid w:val="00600217"/>
    <w:rsid w:val="00601775"/>
    <w:rsid w:val="00601F8D"/>
    <w:rsid w:val="0060230B"/>
    <w:rsid w:val="0060520A"/>
    <w:rsid w:val="006230A4"/>
    <w:rsid w:val="00626EB0"/>
    <w:rsid w:val="006316A6"/>
    <w:rsid w:val="0063762E"/>
    <w:rsid w:val="00637782"/>
    <w:rsid w:val="00637B23"/>
    <w:rsid w:val="00640C0E"/>
    <w:rsid w:val="0064567E"/>
    <w:rsid w:val="0065438D"/>
    <w:rsid w:val="00662EC4"/>
    <w:rsid w:val="00671915"/>
    <w:rsid w:val="00672771"/>
    <w:rsid w:val="0067305F"/>
    <w:rsid w:val="00674D16"/>
    <w:rsid w:val="006758F5"/>
    <w:rsid w:val="00675A75"/>
    <w:rsid w:val="00675F6E"/>
    <w:rsid w:val="006764F0"/>
    <w:rsid w:val="00683215"/>
    <w:rsid w:val="006832F0"/>
    <w:rsid w:val="0068477F"/>
    <w:rsid w:val="00692CD0"/>
    <w:rsid w:val="00695DA3"/>
    <w:rsid w:val="00696C14"/>
    <w:rsid w:val="00697094"/>
    <w:rsid w:val="006A1547"/>
    <w:rsid w:val="006A7937"/>
    <w:rsid w:val="006B4629"/>
    <w:rsid w:val="006C1DF1"/>
    <w:rsid w:val="006D1B9F"/>
    <w:rsid w:val="006D5B74"/>
    <w:rsid w:val="006E0B08"/>
    <w:rsid w:val="006F0AC9"/>
    <w:rsid w:val="006F2993"/>
    <w:rsid w:val="006F48D5"/>
    <w:rsid w:val="00701A09"/>
    <w:rsid w:val="00710697"/>
    <w:rsid w:val="00713D78"/>
    <w:rsid w:val="00716996"/>
    <w:rsid w:val="0072505A"/>
    <w:rsid w:val="007274DE"/>
    <w:rsid w:val="00733817"/>
    <w:rsid w:val="00737225"/>
    <w:rsid w:val="00741AB4"/>
    <w:rsid w:val="00750E43"/>
    <w:rsid w:val="00761A31"/>
    <w:rsid w:val="007663A3"/>
    <w:rsid w:val="00767517"/>
    <w:rsid w:val="00767E4A"/>
    <w:rsid w:val="0077061D"/>
    <w:rsid w:val="0077221F"/>
    <w:rsid w:val="0077304E"/>
    <w:rsid w:val="00773AC9"/>
    <w:rsid w:val="00775EBC"/>
    <w:rsid w:val="0078160D"/>
    <w:rsid w:val="00786E43"/>
    <w:rsid w:val="007871D4"/>
    <w:rsid w:val="00792AA2"/>
    <w:rsid w:val="00796A79"/>
    <w:rsid w:val="007B021B"/>
    <w:rsid w:val="007B140D"/>
    <w:rsid w:val="007C0CD0"/>
    <w:rsid w:val="007C3D0E"/>
    <w:rsid w:val="007E2632"/>
    <w:rsid w:val="007F3E79"/>
    <w:rsid w:val="0080045B"/>
    <w:rsid w:val="008011B5"/>
    <w:rsid w:val="00805B62"/>
    <w:rsid w:val="0081459D"/>
    <w:rsid w:val="008152CC"/>
    <w:rsid w:val="00820AD7"/>
    <w:rsid w:val="008239C9"/>
    <w:rsid w:val="00832F3E"/>
    <w:rsid w:val="008337D9"/>
    <w:rsid w:val="00833A8E"/>
    <w:rsid w:val="00835391"/>
    <w:rsid w:val="0084629B"/>
    <w:rsid w:val="0086681B"/>
    <w:rsid w:val="00870333"/>
    <w:rsid w:val="00870734"/>
    <w:rsid w:val="00870BCB"/>
    <w:rsid w:val="00884AB6"/>
    <w:rsid w:val="00885CA2"/>
    <w:rsid w:val="00890E06"/>
    <w:rsid w:val="00892C34"/>
    <w:rsid w:val="0089755A"/>
    <w:rsid w:val="008A15C1"/>
    <w:rsid w:val="008A6BCF"/>
    <w:rsid w:val="008B22CF"/>
    <w:rsid w:val="008B2C22"/>
    <w:rsid w:val="008B41AE"/>
    <w:rsid w:val="008B7753"/>
    <w:rsid w:val="008D2B04"/>
    <w:rsid w:val="008D2B50"/>
    <w:rsid w:val="008D4C1D"/>
    <w:rsid w:val="008E006E"/>
    <w:rsid w:val="008E30C0"/>
    <w:rsid w:val="008E7392"/>
    <w:rsid w:val="008E76F3"/>
    <w:rsid w:val="008F27A6"/>
    <w:rsid w:val="008F2C52"/>
    <w:rsid w:val="008F322D"/>
    <w:rsid w:val="008F5B01"/>
    <w:rsid w:val="009006F7"/>
    <w:rsid w:val="009036C6"/>
    <w:rsid w:val="009060A4"/>
    <w:rsid w:val="00914FBE"/>
    <w:rsid w:val="0093327C"/>
    <w:rsid w:val="00935DA7"/>
    <w:rsid w:val="00937BD3"/>
    <w:rsid w:val="00947BFB"/>
    <w:rsid w:val="00955021"/>
    <w:rsid w:val="00970D44"/>
    <w:rsid w:val="009756DA"/>
    <w:rsid w:val="009764C4"/>
    <w:rsid w:val="0098795B"/>
    <w:rsid w:val="0099292A"/>
    <w:rsid w:val="0099530F"/>
    <w:rsid w:val="00996DD0"/>
    <w:rsid w:val="009A0E08"/>
    <w:rsid w:val="009A1027"/>
    <w:rsid w:val="009A1211"/>
    <w:rsid w:val="009C131F"/>
    <w:rsid w:val="009C5A94"/>
    <w:rsid w:val="009C64FD"/>
    <w:rsid w:val="009D17EA"/>
    <w:rsid w:val="009D31C3"/>
    <w:rsid w:val="009D61A4"/>
    <w:rsid w:val="009E2446"/>
    <w:rsid w:val="009E6556"/>
    <w:rsid w:val="009E674C"/>
    <w:rsid w:val="009E7572"/>
    <w:rsid w:val="009F2447"/>
    <w:rsid w:val="009F2B10"/>
    <w:rsid w:val="009F5467"/>
    <w:rsid w:val="009F5A4E"/>
    <w:rsid w:val="009F6962"/>
    <w:rsid w:val="00A02A16"/>
    <w:rsid w:val="00A031BB"/>
    <w:rsid w:val="00A041C4"/>
    <w:rsid w:val="00A10D1F"/>
    <w:rsid w:val="00A14574"/>
    <w:rsid w:val="00A23032"/>
    <w:rsid w:val="00A23CB5"/>
    <w:rsid w:val="00A2648D"/>
    <w:rsid w:val="00A305C5"/>
    <w:rsid w:val="00A30D76"/>
    <w:rsid w:val="00A33D25"/>
    <w:rsid w:val="00A41DC1"/>
    <w:rsid w:val="00A43EFB"/>
    <w:rsid w:val="00A53C98"/>
    <w:rsid w:val="00A57A91"/>
    <w:rsid w:val="00A657C2"/>
    <w:rsid w:val="00A70E72"/>
    <w:rsid w:val="00A82501"/>
    <w:rsid w:val="00A92A5B"/>
    <w:rsid w:val="00A93379"/>
    <w:rsid w:val="00AA3288"/>
    <w:rsid w:val="00AB2E5B"/>
    <w:rsid w:val="00AB33DC"/>
    <w:rsid w:val="00AB46F1"/>
    <w:rsid w:val="00AB534D"/>
    <w:rsid w:val="00AC23B9"/>
    <w:rsid w:val="00AE69EE"/>
    <w:rsid w:val="00B0063C"/>
    <w:rsid w:val="00B11542"/>
    <w:rsid w:val="00B262E3"/>
    <w:rsid w:val="00B30CE7"/>
    <w:rsid w:val="00B3744E"/>
    <w:rsid w:val="00B425AB"/>
    <w:rsid w:val="00B44C1C"/>
    <w:rsid w:val="00B56EB3"/>
    <w:rsid w:val="00B579E4"/>
    <w:rsid w:val="00B61EAE"/>
    <w:rsid w:val="00B9445F"/>
    <w:rsid w:val="00B9565C"/>
    <w:rsid w:val="00BA0888"/>
    <w:rsid w:val="00BA3E73"/>
    <w:rsid w:val="00BA5CD3"/>
    <w:rsid w:val="00BA6B27"/>
    <w:rsid w:val="00BB3142"/>
    <w:rsid w:val="00BC1F74"/>
    <w:rsid w:val="00BC28B6"/>
    <w:rsid w:val="00BC4B80"/>
    <w:rsid w:val="00BD3742"/>
    <w:rsid w:val="00BD3D24"/>
    <w:rsid w:val="00BD7CBE"/>
    <w:rsid w:val="00BE5DAD"/>
    <w:rsid w:val="00BF7826"/>
    <w:rsid w:val="00C06C0D"/>
    <w:rsid w:val="00C11E15"/>
    <w:rsid w:val="00C15BD8"/>
    <w:rsid w:val="00C229BC"/>
    <w:rsid w:val="00C26F89"/>
    <w:rsid w:val="00C3007D"/>
    <w:rsid w:val="00C3091E"/>
    <w:rsid w:val="00C30F6C"/>
    <w:rsid w:val="00C47296"/>
    <w:rsid w:val="00C50DBE"/>
    <w:rsid w:val="00C516EF"/>
    <w:rsid w:val="00C52C66"/>
    <w:rsid w:val="00C5723A"/>
    <w:rsid w:val="00C661CB"/>
    <w:rsid w:val="00C726C5"/>
    <w:rsid w:val="00C73AB9"/>
    <w:rsid w:val="00C7522A"/>
    <w:rsid w:val="00C76A8C"/>
    <w:rsid w:val="00C81862"/>
    <w:rsid w:val="00C87F35"/>
    <w:rsid w:val="00C938F6"/>
    <w:rsid w:val="00C93CD1"/>
    <w:rsid w:val="00CA0103"/>
    <w:rsid w:val="00CB2EC9"/>
    <w:rsid w:val="00CB36B6"/>
    <w:rsid w:val="00CB7690"/>
    <w:rsid w:val="00CC26C8"/>
    <w:rsid w:val="00CC5FD0"/>
    <w:rsid w:val="00CD3977"/>
    <w:rsid w:val="00CE7360"/>
    <w:rsid w:val="00CE7571"/>
    <w:rsid w:val="00CF0ACA"/>
    <w:rsid w:val="00CF736F"/>
    <w:rsid w:val="00CF774E"/>
    <w:rsid w:val="00CF7D4C"/>
    <w:rsid w:val="00D0290C"/>
    <w:rsid w:val="00D22FF3"/>
    <w:rsid w:val="00D23F8A"/>
    <w:rsid w:val="00D3396F"/>
    <w:rsid w:val="00D34077"/>
    <w:rsid w:val="00D407CA"/>
    <w:rsid w:val="00D430A8"/>
    <w:rsid w:val="00D452A0"/>
    <w:rsid w:val="00D67A9C"/>
    <w:rsid w:val="00D7386C"/>
    <w:rsid w:val="00D8718F"/>
    <w:rsid w:val="00D96C90"/>
    <w:rsid w:val="00DA26E9"/>
    <w:rsid w:val="00DA3650"/>
    <w:rsid w:val="00DA5BE4"/>
    <w:rsid w:val="00DC059B"/>
    <w:rsid w:val="00DC1616"/>
    <w:rsid w:val="00DC1AA4"/>
    <w:rsid w:val="00DC2A05"/>
    <w:rsid w:val="00DC323F"/>
    <w:rsid w:val="00DD090D"/>
    <w:rsid w:val="00DD1637"/>
    <w:rsid w:val="00DD1A5F"/>
    <w:rsid w:val="00DE0543"/>
    <w:rsid w:val="00DE5C64"/>
    <w:rsid w:val="00DF2209"/>
    <w:rsid w:val="00DF4852"/>
    <w:rsid w:val="00DF5F5C"/>
    <w:rsid w:val="00E00339"/>
    <w:rsid w:val="00E008E5"/>
    <w:rsid w:val="00E10861"/>
    <w:rsid w:val="00E12311"/>
    <w:rsid w:val="00E1602B"/>
    <w:rsid w:val="00E2132E"/>
    <w:rsid w:val="00E21432"/>
    <w:rsid w:val="00E25A54"/>
    <w:rsid w:val="00E26E68"/>
    <w:rsid w:val="00E329FF"/>
    <w:rsid w:val="00E37BD5"/>
    <w:rsid w:val="00E4291B"/>
    <w:rsid w:val="00E61D8E"/>
    <w:rsid w:val="00E64C60"/>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B1B60"/>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1F3A"/>
    <w:rsid w:val="00EE3967"/>
    <w:rsid w:val="00F05F58"/>
    <w:rsid w:val="00F070A9"/>
    <w:rsid w:val="00F23A58"/>
    <w:rsid w:val="00F248E3"/>
    <w:rsid w:val="00F26840"/>
    <w:rsid w:val="00F36D71"/>
    <w:rsid w:val="00F52765"/>
    <w:rsid w:val="00F546EA"/>
    <w:rsid w:val="00F6330B"/>
    <w:rsid w:val="00F74C7C"/>
    <w:rsid w:val="00F7763B"/>
    <w:rsid w:val="00F8604E"/>
    <w:rsid w:val="00F866CD"/>
    <w:rsid w:val="00F90B50"/>
    <w:rsid w:val="00FA3DC6"/>
    <w:rsid w:val="00FA3E26"/>
    <w:rsid w:val="00FB16BE"/>
    <w:rsid w:val="00FB540E"/>
    <w:rsid w:val="00FC0118"/>
    <w:rsid w:val="00FC0B8A"/>
    <w:rsid w:val="00FC1E57"/>
    <w:rsid w:val="00FC373A"/>
    <w:rsid w:val="00FD0700"/>
    <w:rsid w:val="00FD2255"/>
    <w:rsid w:val="00FD35FC"/>
    <w:rsid w:val="00FD5ED9"/>
    <w:rsid w:val="00FE3739"/>
    <w:rsid w:val="00FE5EC2"/>
    <w:rsid w:val="00FE6308"/>
    <w:rsid w:val="00FF28D0"/>
    <w:rsid w:val="00FF4CB3"/>
    <w:rsid w:val="00FF4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E53BED-C1C6-4D46-96EB-320BDC70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DE0039-0C36-4623-B7CC-A2B93CCD5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450</Words>
  <Characters>2568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Nate Boyd</dc:creator>
  <cp:lastModifiedBy>Nathaniel Boyd</cp:lastModifiedBy>
  <cp:revision>6</cp:revision>
  <cp:lastPrinted>2015-06-24T16:53:00Z</cp:lastPrinted>
  <dcterms:created xsi:type="dcterms:W3CDTF">2017-06-26T21:37:00Z</dcterms:created>
  <dcterms:modified xsi:type="dcterms:W3CDTF">2017-06-26T21:53:00Z</dcterms:modified>
</cp:coreProperties>
</file>