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TC 9.08 Large Building Air-Conditioning Applications</w:t>
      </w:r>
    </w:p>
    <w:p>
      <w:pPr>
        <w:pStyle w:val="Subtitle"/>
        <w:jc w:val="center"/>
        <w:numPr>
          <w:ilvl w:val="0"/>
          <w:numId w:val="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Minutes</w:t>
      </w:r>
    </w:p>
    <w:p>
      <w:r>
        <w:t>Meeting Date &amp; Time: Monday June 24, 2019 2:15PM-4:15PM</w:t>
      </w:r>
    </w:p>
    <w:p>
      <w:pPr>
        <w:pStyle w:val="BodyText"/>
      </w:pPr>
      <w:r>
        <w:t>Room KCCC, 2215B</w:t>
      </w:r>
    </w:p>
    <w:p>
      <w:pPr>
        <w:pStyle w:val="TC98Level1"/>
        <w:numPr>
          <w:ilvl w:val="0"/>
          <w:numId w:val="0"/>
        </w:numPr>
        <w:tabs>
          <w:tab w:val="clear" w:pos="54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(Establish Quorum: # of voting members present exceeds ½ of the # of total voting members of the committee (10 VM))</w:t>
      </w:r>
    </w:p>
    <w:p>
      <w:pPr>
        <w:pStyle w:val="TC98Level1"/>
        <w:numPr>
          <w:ilvl w:val="0"/>
          <w:numId w:val="2"/>
        </w:numPr>
      </w:pPr>
      <w:r>
        <w:t>Call to Order  - 2:15 pm</w:t>
      </w:r>
    </w:p>
    <w:p>
      <w:pPr>
        <w:pStyle w:val="TC98Level2"/>
        <w:numPr>
          <w:ilvl w:val="1"/>
          <w:numId w:val="2"/>
        </w:numPr>
      </w:pPr>
      <w:r>
        <w:t>Introduction of Members and Guests</w:t>
      </w:r>
    </w:p>
    <w:p>
      <w:pPr>
        <w:pStyle w:val="TC98Level2"/>
        <w:ind w:left="720"/>
        <w:numPr>
          <w:ilvl w:val="0"/>
          <w:numId w:val="0"/>
        </w:numPr>
      </w:pPr>
      <w:r>
        <w:t>New guests can be provisional corresponding</w:t>
      </w:r>
    </w:p>
    <w:p>
      <w:pPr>
        <w:pStyle w:val="TC98Level2"/>
        <w:numPr>
          <w:ilvl w:val="1"/>
          <w:numId w:val="2"/>
        </w:numPr>
      </w:pPr>
      <w:r>
        <w:t>Rich Vehlow secretary thru 2020</w:t>
      </w:r>
    </w:p>
    <w:p>
      <w:pPr>
        <w:pStyle w:val="TC98Level2"/>
        <w:numPr>
          <w:ilvl w:val="1"/>
          <w:numId w:val="2"/>
        </w:numPr>
      </w:pPr>
      <w:r>
        <w:t xml:space="preserve">Agenda Review </w:t>
      </w:r>
    </w:p>
    <w:p>
      <w:pPr>
        <w:pStyle w:val="TC98Level2"/>
        <w:numPr>
          <w:ilvl w:val="1"/>
          <w:numId w:val="2"/>
        </w:numPr>
      </w:pPr>
      <w:r>
        <w:t>Membership Update</w:t>
      </w:r>
    </w:p>
    <w:p>
      <w:pPr>
        <w:pStyle w:val="TC98Level4"/>
        <w:numPr>
          <w:ilvl w:val="2"/>
          <w:numId w:val="2"/>
        </w:numPr>
      </w:pPr>
      <w:r>
        <w:t>Review Roster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 xml:space="preserve">John Molnar rolling off as chair and voting member 2019-06-30. 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Bill Artis- nominated as new chair.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Tim Secrist – to 2021, may go to corresponding.  Have we changed this to someone else?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Bob Barrett – voting member rolling off 2021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Anthony York – voting member rolling off 2022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Boggi Setty to 2021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Currently need ? of ?? voting members for quorum.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Channing  Everett- research and Growing Facilities subcommittees chairs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Heather Schopplein – voting member starting July 1, rolling off ????.</w:t>
      </w:r>
    </w:p>
    <w:p>
      <w:pPr>
        <w:pStyle w:val="TC98Level4"/>
        <w:numPr>
          <w:ilvl w:val="3"/>
          <w:numId w:val="2"/>
        </w:numPr>
        <w:tabs>
          <w:tab w:val="left" w:pos="1620"/>
        </w:tabs>
      </w:pPr>
      <w:r>
        <w:t>Scott Peach- voting member rolling off 2022.</w:t>
      </w:r>
    </w:p>
    <w:p>
      <w:pPr>
        <w:pStyle w:val="TC98Level1"/>
        <w:numPr>
          <w:ilvl w:val="0"/>
          <w:numId w:val="2"/>
        </w:numPr>
      </w:pPr>
      <w:r>
        <w:t xml:space="preserve">Previous Meeting Minutes </w:t>
      </w:r>
    </w:p>
    <w:p>
      <w:pPr>
        <w:pStyle w:val="TC98Level2"/>
        <w:numPr>
          <w:ilvl w:val="1"/>
          <w:numId w:val="2"/>
        </w:numPr>
      </w:pPr>
      <w:r>
        <w:t>Review &amp; Approve Jan 2019 – Atlanta Meeting Minutes (??) moved, approved and passed without corrections.?-0-0. ? voting members</w:t>
      </w:r>
    </w:p>
    <w:p>
      <w:pPr>
        <w:pStyle w:val="TC98Level1"/>
        <w:numPr>
          <w:ilvl w:val="0"/>
          <w:numId w:val="2"/>
        </w:numPr>
      </w:pPr>
      <w:r>
        <w:t>Subcommittee Reports</w:t>
      </w:r>
    </w:p>
    <w:p>
      <w:pPr>
        <w:pStyle w:val="TC98Level1"/>
        <w:numPr>
          <w:ilvl w:val="1"/>
          <w:numId w:val="2"/>
        </w:numPr>
        <w:rPr>
          <w:b w:val="0"/>
          <w:bCs/>
        </w:rPr>
      </w:pPr>
      <w:r>
        <w:t xml:space="preserve">Research Subcommittee Report (Channing Everett) – </w:t>
      </w:r>
      <w:r>
        <w:rPr>
          <w:b w:val="0"/>
          <w:bCs/>
        </w:rPr>
        <w:t>Co-sponsor of Work Statement 1566 - Evaporation Equations for TC 8.10</w:t>
      </w:r>
    </w:p>
    <w:p>
      <w:pPr>
        <w:pStyle w:val="TC98Level1"/>
        <w:numPr>
          <w:ilvl w:val="1"/>
          <w:numId w:val="2"/>
        </w:numPr>
      </w:pPr>
      <w:r>
        <w:t xml:space="preserve">Program Subcommittee Report (Bill Artis) </w:t>
      </w:r>
    </w:p>
    <w:p>
      <w:pPr>
        <w:pStyle w:val="TC98Level1"/>
        <w:numPr>
          <w:ilvl w:val="1"/>
          <w:numId w:val="2"/>
        </w:numPr>
      </w:pPr>
      <w:r>
        <w:t xml:space="preserve">YEA (Artis) </w:t>
      </w:r>
    </w:p>
    <w:p>
      <w:pPr>
        <w:pStyle w:val="TC98Level1"/>
        <w:numPr>
          <w:ilvl w:val="1"/>
          <w:numId w:val="2"/>
        </w:numPr>
      </w:pPr>
      <w:r>
        <w:t>Indoor Grow Facilities (Channing Everett)</w:t>
      </w:r>
    </w:p>
    <w:p>
      <w:pPr>
        <w:pStyle w:val="ListParagraph"/>
        <w:ind w:left="360"/>
      </w:pPr>
      <w:r>
        <w:t>-Indoor Plant Production Facility Design, Systems, &amp; Equipment - MTG proposal</w:t>
      </w:r>
    </w:p>
    <w:p>
      <w:pPr>
        <w:pStyle w:val="ListParagraph"/>
        <w:ind w:left="360"/>
      </w:pPr>
      <w:r>
        <w:t>-Indoor Growing/Processing Facility Handbook Chapter</w:t>
      </w:r>
    </w:p>
    <w:p>
      <w:pPr>
        <w:pStyle w:val="TC98Level2"/>
        <w:ind w:left="720"/>
        <w:numPr>
          <w:ilvl w:val="0"/>
          <w:numId w:val="0"/>
        </w:numPr>
      </w:pPr>
    </w:p>
    <w:p>
      <w:pPr>
        <w:pStyle w:val="TC98Level1"/>
        <w:numPr>
          <w:ilvl w:val="1"/>
          <w:numId w:val="2"/>
        </w:numPr>
      </w:pPr>
      <w:r>
        <w:t>Handbook- Frank Mills, Cecily Grzywacz</w:t>
      </w:r>
    </w:p>
    <w:p>
      <w:pPr>
        <w:pStyle w:val="TC98Level1"/>
        <w:numPr>
          <w:ilvl w:val="1"/>
          <w:numId w:val="2"/>
        </w:numPr>
      </w:pPr>
      <w:r>
        <w:t>Standards subcommittee-  (Richard Hermans)</w:t>
      </w:r>
    </w:p>
    <w:p>
      <w:pPr>
        <w:pStyle w:val="TC98Level1"/>
        <w:numPr>
          <w:ilvl w:val="1"/>
          <w:numId w:val="2"/>
        </w:numPr>
      </w:pPr>
      <w:r>
        <w:t>Membership – (Carrie Ann Monplaisir)</w:t>
      </w:r>
    </w:p>
    <w:p>
      <w:pPr>
        <w:pStyle w:val="TC98Level1"/>
        <w:numPr>
          <w:ilvl w:val="1"/>
          <w:numId w:val="2"/>
        </w:numPr>
      </w:pPr>
      <w:r>
        <w:t>International Liason- Farhan Mehboob</w:t>
      </w:r>
    </w:p>
    <w:p>
      <w:pPr>
        <w:pStyle w:val="TC98Level1"/>
        <w:numPr>
          <w:ilvl w:val="0"/>
          <w:numId w:val="2"/>
        </w:numPr>
      </w:pPr>
      <w:r>
        <w:t>Liaison Reports Ideas discussed</w:t>
      </w:r>
    </w:p>
    <w:p>
      <w:pPr>
        <w:pStyle w:val="TC98Level2"/>
        <w:ind w:left="720"/>
        <w:numPr>
          <w:ilvl w:val="0"/>
          <w:numId w:val="0"/>
        </w:numPr>
      </w:pPr>
      <w:r>
        <w:t>.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TAC Section 9 Report</w:t>
      </w:r>
      <w:r>
        <w:t xml:space="preserve"> – </w:t>
      </w:r>
    </w:p>
    <w:p>
      <w:pPr>
        <w:pStyle w:val="TC98Level2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RAC Report  - Channing: </w:t>
      </w:r>
    </w:p>
    <w:p>
      <w:pPr>
        <w:pStyle w:val="TC98Level2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TC4.4 moisture transport through roof shingle systems.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TC 8.10 Mechanical Dehumidifiers &amp; Heat Pipes</w:t>
      </w:r>
      <w:r>
        <w:t xml:space="preserve"> – Ralph Kittler- meets tomorrow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TC9.01</w:t>
      </w:r>
      <w:r>
        <w:t>- Bill-.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TC 9.04 Justice Facilities</w:t>
      </w:r>
      <w:r>
        <w:t xml:space="preserve">  - Vehlow – Possible to join TC 9.8 is the reorg goes forward? 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TC 9.06 Health Care Facilities</w:t>
      </w:r>
      <w:r>
        <w:t xml:space="preserve"> – Ron Westbrook is a CM of 9.8 and used to be the contact. Not present.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TC 9.07 Educational Facilities</w:t>
      </w:r>
      <w:r>
        <w:t xml:space="preserve"> – Bill 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TC 9. 12 Tall Buildings</w:t>
      </w:r>
      <w:r>
        <w:t xml:space="preserve">- Scott- </w:t>
      </w:r>
    </w:p>
    <w:p>
      <w:pPr>
        <w:pStyle w:val="TC98Level1"/>
        <w:numPr>
          <w:ilvl w:val="0"/>
          <w:numId w:val="2"/>
        </w:numPr>
      </w:pPr>
      <w:r>
        <w:t>Standards – Basecamp is for internal use only.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SSPC 55 Thermal Environmental Conditions for Human Occupancy-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SSPC 62.1 Ventilation and Acceptable IAQ in Commercial, Institutional and High-Rise Residential Buildings</w:t>
      </w:r>
      <w:r>
        <w:t xml:space="preserve"> – Kelley- 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SPC 90.1 Energy Efficient Design of New Buildings-</w:t>
      </w:r>
      <w:r>
        <w:t xml:space="preserve"> 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SPC 100 Energy Efficiency in Existing Buildings</w:t>
      </w:r>
      <w:r>
        <w:t>- John?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GPC 34P Guidelines for Historic Buildings</w:t>
      </w:r>
      <w:r>
        <w:t xml:space="preserve">- 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SSPC 170 Ventilation of Healthcare Facilities</w:t>
      </w:r>
      <w:r>
        <w:t xml:space="preserve"> – Channing 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 xml:space="preserve">Standard 180 Standard Practice for Inspection and Maintenance of Commercial Building HVAC Systems – </w:t>
      </w:r>
      <w:r>
        <w:t>no liaison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Residential Building Committee</w:t>
      </w:r>
      <w:r>
        <w:t xml:space="preserve"> – no liaison</w:t>
      </w:r>
    </w:p>
    <w:p>
      <w:pPr>
        <w:pStyle w:val="TC98Level2"/>
        <w:numPr>
          <w:ilvl w:val="1"/>
          <w:numId w:val="2"/>
        </w:numPr>
      </w:pPr>
      <w:r>
        <w:rPr>
          <w:b/>
          <w:bCs/>
        </w:rPr>
        <w:t>Standard 189.1</w:t>
      </w:r>
      <w:r>
        <w:t xml:space="preserve"> – no liaison</w:t>
      </w:r>
    </w:p>
    <w:p>
      <w:pPr>
        <w:pStyle w:val="TC98Level1"/>
        <w:numPr>
          <w:ilvl w:val="0"/>
          <w:numId w:val="2"/>
        </w:numPr>
      </w:pPr>
      <w:r>
        <w:t>Unfinished Business</w:t>
      </w:r>
    </w:p>
    <w:p>
      <w:pPr>
        <w:pStyle w:val="TC98Level2"/>
        <w:numPr>
          <w:ilvl w:val="1"/>
          <w:numId w:val="2"/>
        </w:numPr>
      </w:pPr>
      <w:r>
        <w:t>TC name. Want to get this officially changed from “Large building applications” to “Building HVAC Applications”. This was voted on and  passed  a while ago. Need to get this change officially recognized.</w:t>
      </w:r>
    </w:p>
    <w:p>
      <w:pPr>
        <w:pStyle w:val="TC98Level1"/>
        <w:numPr>
          <w:ilvl w:val="0"/>
          <w:numId w:val="2"/>
        </w:numPr>
      </w:pPr>
      <w:r>
        <w:t>New Business</w:t>
      </w:r>
    </w:p>
    <w:p>
      <w:pPr>
        <w:pStyle w:val="TC98Level2"/>
        <w:ind w:left="720"/>
        <w:numPr>
          <w:ilvl w:val="0"/>
          <w:numId w:val="0"/>
        </w:numPr>
      </w:pPr>
      <w:r>
        <w:t>None</w:t>
      </w:r>
    </w:p>
    <w:p>
      <w:pPr>
        <w:pStyle w:val="TC98Level1"/>
        <w:numPr>
          <w:ilvl w:val="0"/>
          <w:numId w:val="2"/>
        </w:numPr>
      </w:pPr>
      <w:r>
        <w:t>Announcements</w:t>
      </w:r>
    </w:p>
    <w:p>
      <w:pPr>
        <w:pStyle w:val="TC98Level1"/>
        <w:numPr>
          <w:ilvl w:val="0"/>
          <w:numId w:val="2"/>
        </w:numPr>
      </w:pPr>
      <w:r>
        <w:t>Adjournment</w:t>
      </w:r>
    </w:p>
    <w:p>
      <w:pPr>
        <w:pStyle w:val="TC98Level2"/>
        <w:numPr>
          <w:ilvl w:val="1"/>
          <w:numId w:val="2"/>
        </w:numPr>
      </w:pPr>
      <w:r>
        <w:t>Meeting adjourned at  4:15   pm, local time.</w:t>
      </w:r>
    </w:p>
    <w:p>
      <w:pPr>
        <w:pStyle w:val="TC98Level2"/>
        <w:numPr>
          <w:ilvl w:val="1"/>
          <w:numId w:val="2"/>
        </w:numPr>
      </w:pPr>
      <w:r>
        <w:t xml:space="preserve">Motion to adjourn unanimous:    </w:t>
      </w:r>
    </w:p>
    <w:p>
      <w:pPr>
        <w:rPr>
          <w:i/>
        </w:rPr>
      </w:pPr>
    </w:p>
    <w:p>
      <w:pPr>
        <w:rPr>
          <w:i/>
        </w:rPr>
      </w:pPr>
      <w:r>
        <w:rPr>
          <w:i/>
        </w:rPr>
        <w:t xml:space="preserve">All votes to be recorded as Aye-Nay-Abstain-Chair Not Voting-Absent.  </w:t>
      </w:r>
    </w:p>
    <w:p>
      <w:pPr>
        <w:ind w:left="360"/>
      </w:pPr>
    </w:p>
    <w:sectPr>
      <w:type w:val="continuous"/>
      <w:pgSz w:w="12240" w:h="15840" w:code="1"/>
      <w:pgMar w:top="1890" w:right="1080" w:bottom="1440" w:left="1080" w:header="720" w:footer="720" w:gutter="0"/>
      <w:cols w:space="720"/>
      <w:docGrid w:linePitch="360"/>
      <w:headerReference w:type="default" r:id="rId1"/>
      <w:footerReference w:type="default" r:id="rId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</w:pPr>
  </w:p>
  <w:p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ind w:left="1620"/>
    </w:pPr>
    <w:r>
      <w:rPr>
        <w:noProof/>
      </w:rPr>
      <w:drawing>
        <wp:anchor distT="0" distB="0" distL="114300" distR="114300" behindDoc="0" locked="0" layoutInCell="1" simplePos="0" relativeHeight="251658752" allowOverlap="1" hidden="0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67873" cy="668740"/>
          <wp:effectExtent l="0" t="0" r="0" b="0"/>
          <wp:wrapNone/>
          <wp:docPr id="2049" name="shape2049" hidden="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873" cy="668740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</w:p>
  <w:p>
    <w:pPr>
      <w:ind w:left="1620"/>
      <w:jc w:val="center"/>
    </w:pPr>
    <w:r>
      <w:t>American Society of Heating, Refrigerating and Air-Conditioning Engineers Inc.</w:t>
    </w:r>
  </w:p>
  <w:p>
    <w:pPr>
      <w:ind w:left="1620"/>
      <w:jc w:val="center"/>
    </w:pPr>
    <w:r>
      <w:rPr>
        <w:noProof/>
      </w:rPr>
      <mc:AlternateContent>
        <mc:Choice Requires="wps">
          <w:drawing>
            <wp:anchor distT="0" distB="0" distL="114300" distR="114300" behindDoc="0" locked="0" layoutInCell="0" simplePos="0" relativeHeight="251657728" allowOverlap="1" hidden="0">
              <wp:simplePos x="0" y="0"/>
              <wp:positionH relativeFrom="column">
                <wp:posOffset>1186180</wp:posOffset>
              </wp:positionH>
              <wp:positionV relativeFrom="paragraph">
                <wp:posOffset>10160</wp:posOffset>
              </wp:positionV>
              <wp:extent cx="5036185" cy="635"/>
              <wp:effectExtent l="6350" t="6350" r="6350" b="635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503618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headEnd type="none" w="lg" len="lg"/>
                        <a:tailEnd type="none" w="lg" len="lg"/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93.4pt;margin-top:0.8pt;width:396.55pt;height:0.05pt;mso-wrap-style:infront;mso-position-horizontal-relative:column;mso-position-vertical-relative:line;v-text-anchor:top;z-index:251657728" o:allowincell="f" filled="f" fillcolor="#ffffff" stroked="t" strokecolor="#0" strokeweight="1pt">
              <v:stroke joinstyle="round" startarrowwidth="wide" startarrowlength="long" endarrowwidth="wide" endarrowlength="long"/>
            </v:line>
          </w:pict>
        </mc:Fallback>
      </mc:AlternateContent>
    </w:r>
    <w:r>
      <w:t xml:space="preserve">1791 Tullie Circle, NE </w:t>
    </w:r>
    <w:r>
      <w:rPr>
        <w:szCs w:val="16"/>
      </w:rPr>
      <w:sym w:font="Symbol" w:char="F0B7"/>
    </w:r>
    <w:r>
      <w:t xml:space="preserve"> Atlanta, Georgia 30329-2305    </w:t>
    </w:r>
    <w:r>
      <w:rPr>
        <w:szCs w:val="16"/>
      </w:rPr>
      <w:sym w:font="Wingdings" w:char="F028"/>
    </w:r>
    <w:r>
      <w:t xml:space="preserve">404-636-8400 </w:t>
    </w:r>
    <w:r>
      <w:rPr>
        <w:szCs w:val="16"/>
      </w:rPr>
      <w:sym w:font="Symbol" w:char="F0B7"/>
    </w:r>
    <w:r>
      <w:t xml:space="preserve"> Fax 404-321-5478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dcd2df5"/>
    <w:multiLevelType w:val="multilevel"/>
    <w:tmpl w:val="eeb67960"/>
    <w:lvl w:ilvl="0">
      <w:start w:val="1"/>
      <w:numFmt w:val="upperRoman"/>
      <w:lvlText w:val="%1."/>
      <w:lvlJc w:val="left"/>
      <w:pStyle w:val="TC98Level1"/>
      <w:pPr>
        <w:ind w:left="0" w:firstLine="0"/>
      </w:pPr>
    </w:lvl>
    <w:lvl w:ilvl="1">
      <w:start w:val="1"/>
      <w:numFmt w:val="lowerLetter"/>
      <w:lvlText w:val="%2."/>
      <w:lvlJc w:val="left"/>
      <w:pStyle w:val="Heading2"/>
      <w:pPr>
        <w:ind w:left="720" w:firstLine="0"/>
      </w:pPr>
    </w:lvl>
    <w:lvl w:ilvl="2">
      <w:start w:val="1"/>
      <w:lvlText w:val="%3."/>
      <w:lvlJc w:val="left"/>
      <w:pStyle w:val="TC98Level3"/>
      <w:pPr>
        <w:ind w:left="1440" w:firstLine="0"/>
      </w:pPr>
    </w:lvl>
    <w:lvl w:ilvl="3">
      <w:start w:val="1"/>
      <w:numFmt w:val="lowerLetter"/>
      <w:lvlText w:val="%4)"/>
      <w:lvlJc w:val="left"/>
      <w:pStyle w:val="TC98Level4"/>
      <w:pPr>
        <w:ind w:left="2160" w:firstLine="0"/>
      </w:pPr>
    </w:lvl>
    <w:lvl w:ilvl="4">
      <w:start w:val="1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48256f20"/>
    <w:multiLevelType w:val="multilevel"/>
    <w:tmpl w:val="409001d"/>
    <w:lvl w:ilvl="0">
      <w:start w:val="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HyphenateCaps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odyTextChar">
    <w:name w:val="Body Text Char"/>
    <w:link w:val="Body Text"/>
    <w:semiHidden/>
    <w:rPr>
      <w:rFonts w:cs="Times New Roman"/>
      <w:sz w:val="20"/>
      <w:szCs w:val="20"/>
    </w:rPr>
  </w:style>
  <w:style w:type="paragraph" w:styleId="Heading2">
    <w:name w:val="heading 2"/>
    <w:basedOn w:val="normal"/>
    <w:link w:val="Heading 2 Char"/>
    <w:qFormat/>
    <w:pPr>
      <w:keepNext/>
      <w:outlineLvl w:val="1"/>
      <w:numPr>
        <w:ilvl w:val="1"/>
        <w:numId w:val="1"/>
      </w:numPr>
      <w:tabs>
        <w:tab w:val="left" w:pos="720"/>
      </w:tabs>
      <w:spacing w:before="60"/>
    </w:pPr>
    <w:rPr>
      <w:iCs/>
    </w:rPr>
  </w:style>
  <w:style w:type="character" w:customStyle="1" w:styleId="FooterChar">
    <w:name w:val="Footer Char"/>
    <w:link w:val="footer"/>
    <w:semiHidden/>
    <w:rPr>
      <w:rFonts w:cs="Times New Roman"/>
      <w:sz w:val="20"/>
      <w:szCs w:val="20"/>
    </w:rPr>
  </w:style>
  <w:style w:type="paragraph" w:customStyle="1" w:styleId="TC98Level3">
    <w:name w:val="TC98 Level 3"/>
    <w:basedOn w:val="Heading2"/>
    <w:link w:val="TC98 Level 3 Char"/>
    <w:qFormat/>
    <w:pPr>
      <w:ind w:left="1080" w:hanging="360"/>
      <w:keepNext w:val="off"/>
      <w:numPr>
        <w:ilvl w:val="2"/>
      </w:numPr>
      <w:tabs>
        <w:tab w:val="clear" w:pos="720"/>
        <w:tab w:val="left" w:pos="1080"/>
      </w:tabs>
    </w:pPr>
  </w:style>
  <w:style w:type="character" w:customStyle="1" w:styleId="TC98Level1Char">
    <w:name w:val="TC98 Level 1 Char"/>
    <w:basedOn w:val="Heading2Char"/>
    <w:link w:val="TC98 Level 1"/>
    <w:rPr>
      <w:b/>
      <w:iCs/>
      <w:sz w:val="22"/>
      <w:szCs w:val="22"/>
    </w:rPr>
  </w:style>
  <w:style w:type="character" w:customStyle="1" w:styleId="TC98Level2Char">
    <w:name w:val="TC98 Level 2 Char"/>
    <w:basedOn w:val="Heading2Char"/>
    <w:link w:val="TC98 Level 2"/>
    <w:rPr>
      <w:iCs/>
      <w:sz w:val="22"/>
      <w:szCs w:val="22"/>
    </w:rPr>
  </w:style>
  <w:style w:type="character" w:customStyle="1" w:styleId="TC98Level4Char">
    <w:name w:val="TC98 Level 4 Char"/>
    <w:basedOn w:val="TC98Level3Char"/>
    <w:link w:val="TC98 Level 4"/>
    <w:rPr>
      <w:iCs/>
      <w:sz w:val="22"/>
      <w:szCs w:val="22"/>
    </w:rPr>
  </w:style>
  <w:style w:type="character" w:styleId="Subtitle Char">
    <w:name w:val="Subtitle Char"/>
    <w:basedOn w:val="defaultParagraphFont"/>
    <w:link w:val="Subtitle"/>
    <w:rPr>
      <w:rFonts w:eastAsiaTheme="majorEastAsia"/>
      <w:b/>
      <w:iCs/>
      <w:sz w:val="24"/>
      <w:szCs w:val="24"/>
      <w:spacing w:val="15"/>
    </w:rPr>
  </w:style>
  <w:style w:type="paragraph" w:styleId="BodyText">
    <w:name w:val="Body Text"/>
    <w:basedOn w:val="normal"/>
    <w:link w:val="Body Text Char"/>
    <w:pPr>
      <w:spacing w:after="120"/>
    </w:pPr>
  </w:style>
  <w:style w:type="paragraph" w:styleId="Footer">
    <w:name w:val="footer"/>
    <w:basedOn w:val="normal"/>
    <w:link w:val="Footer 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C98Level1">
    <w:name w:val="TC98 Level 1"/>
    <w:basedOn w:val="Heading2"/>
    <w:next w:val="normal"/>
    <w:link w:val="TC98 Level 1 Char"/>
    <w:qFormat/>
    <w:pPr>
      <w:ind w:left="540" w:hanging="540"/>
      <w:keepNext w:val="off"/>
      <w:numPr>
        <w:ilvl w:val="0"/>
      </w:numPr>
      <w:tabs>
        <w:tab w:val="left" w:pos="540"/>
        <w:tab w:val="clear" w:pos="720"/>
      </w:tabs>
      <w:spacing w:before="240"/>
    </w:pPr>
    <w:rPr>
      <w:b/>
    </w:rPr>
  </w:style>
  <w:style w:type="paragraph" w:customStyle="1" w:styleId="TC98Level2">
    <w:name w:val="TC98 Level 2"/>
    <w:basedOn w:val="Heading2"/>
    <w:link w:val="TC98 Level 2 Char"/>
    <w:qFormat/>
    <w:pPr>
      <w:keepNext w:val="off"/>
    </w:pPr>
  </w:style>
  <w:style w:type="paragraph" w:customStyle="1" w:styleId="TC98Level4">
    <w:name w:val="TC98 Level 4"/>
    <w:basedOn w:val="TC98Level3"/>
    <w:link w:val="TC98 Level 4 Char"/>
    <w:qFormat/>
    <w:pPr>
      <w:ind w:left="1440" w:hanging="360"/>
      <w:numPr>
        <w:ilvl w:val="3"/>
      </w:numPr>
      <w:tabs>
        <w:tab w:val="clear" w:pos="1080"/>
        <w:tab w:val="left" w:pos="1440"/>
      </w:tabs>
    </w:pPr>
  </w:style>
  <w:style w:type="paragraph" w:styleId="Subtitle">
    <w:name w:val="Subtitle"/>
    <w:basedOn w:val="normal"/>
    <w:next w:val="normal"/>
    <w:link w:val="Subtitle Char"/>
    <w:qFormat/>
    <w:pPr>
      <w:numPr>
        <w:ilvl w:val="0"/>
      </w:numPr>
    </w:pPr>
    <w:rPr>
      <w:rFonts w:eastAsiaTheme="majorEastAsia"/>
      <w:b/>
      <w:iCs/>
      <w:sz w:val="24"/>
      <w:szCs w:val="24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EMCOR Group, Inc.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TC 09.01 Secretary</dc:creator>
  <cp:keywords/>
  <dc:description/>
  <cp:lastModifiedBy>SAMSUNG-SM-G891A</cp:lastModifiedBy>
  <cp:revision>1</cp:revision>
  <dcterms:created xsi:type="dcterms:W3CDTF">2019-01-14T19:27:00Z</dcterms:created>
  <dcterms:modified xsi:type="dcterms:W3CDTF">2020-02-02T21:20:30Z</dcterms:modified>
  <cp:lastPrinted>2015-01-20T14:47:00Z</cp:lastPrinted>
  <cp:version>04.2000</cp:version>
</cp:coreProperties>
</file>