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90" w:type="dxa"/>
        <w:tblInd w:w="-720" w:type="dxa"/>
        <w:tblBorders>
          <w:top w:val="single" w:sz="4" w:space="0" w:color="auto"/>
        </w:tblBorders>
        <w:tblLayout w:type="fixed"/>
        <w:tblLook w:val="0000" w:firstRow="0" w:lastRow="0" w:firstColumn="0" w:lastColumn="0" w:noHBand="0" w:noVBand="0"/>
      </w:tblPr>
      <w:tblGrid>
        <w:gridCol w:w="763"/>
        <w:gridCol w:w="1055"/>
        <w:gridCol w:w="5112"/>
        <w:gridCol w:w="3960"/>
      </w:tblGrid>
      <w:tr w:rsidR="006A1648" w:rsidTr="00627BA1">
        <w:tc>
          <w:tcPr>
            <w:tcW w:w="1818" w:type="dxa"/>
            <w:gridSpan w:val="2"/>
            <w:vMerge w:val="restart"/>
            <w:tcBorders>
              <w:top w:val="nil"/>
            </w:tcBorders>
          </w:tcPr>
          <w:p w:rsidR="006A1648" w:rsidRDefault="006A1648">
            <w:pPr>
              <w:rPr>
                <w:rFonts w:ascii="Arial" w:hAnsi="Arial"/>
              </w:rPr>
            </w:pPr>
            <w:r w:rsidRPr="006A1648">
              <w:rPr>
                <w:rFonts w:ascii="Arial" w:hAnsi="Arial"/>
                <w:noProof/>
              </w:rPr>
              <w:drawing>
                <wp:inline distT="0" distB="0" distL="0" distR="0" wp14:anchorId="1F508AC3" wp14:editId="6FE811AF">
                  <wp:extent cx="971550" cy="666750"/>
                  <wp:effectExtent l="19050" t="0" r="0" b="0"/>
                  <wp:docPr id="7"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8" cstate="print"/>
                          <a:stretch>
                            <a:fillRect/>
                          </a:stretch>
                        </pic:blipFill>
                        <pic:spPr>
                          <a:xfrm>
                            <a:off x="0" y="0"/>
                            <a:ext cx="971550" cy="666750"/>
                          </a:xfrm>
                          <a:prstGeom prst="rect">
                            <a:avLst/>
                          </a:prstGeom>
                        </pic:spPr>
                      </pic:pic>
                    </a:graphicData>
                  </a:graphic>
                </wp:inline>
              </w:drawing>
            </w:r>
          </w:p>
        </w:tc>
        <w:tc>
          <w:tcPr>
            <w:tcW w:w="9072" w:type="dxa"/>
            <w:gridSpan w:val="2"/>
            <w:tcBorders>
              <w:top w:val="nil"/>
            </w:tcBorders>
          </w:tcPr>
          <w:p w:rsidR="006A1648" w:rsidRDefault="009F3B42" w:rsidP="006A1648">
            <w:pPr>
              <w:jc w:val="center"/>
              <w:rPr>
                <w:rFonts w:ascii="Arial" w:hAnsi="Arial"/>
                <w:b/>
                <w:sz w:val="24"/>
              </w:rPr>
            </w:pPr>
            <w:r>
              <w:rPr>
                <w:rFonts w:ascii="Arial" w:hAnsi="Arial"/>
                <w:b/>
                <w:sz w:val="24"/>
              </w:rPr>
              <w:t>Agenda</w:t>
            </w:r>
          </w:p>
          <w:p w:rsidR="006A1648" w:rsidRDefault="006A1648">
            <w:pPr>
              <w:rPr>
                <w:rFonts w:ascii="Arial" w:hAnsi="Arial"/>
              </w:rPr>
            </w:pPr>
          </w:p>
        </w:tc>
      </w:tr>
      <w:tr w:rsidR="006A1648" w:rsidTr="00627BA1">
        <w:tc>
          <w:tcPr>
            <w:tcW w:w="1818" w:type="dxa"/>
            <w:gridSpan w:val="2"/>
            <w:vMerge/>
            <w:tcBorders>
              <w:bottom w:val="single" w:sz="4" w:space="0" w:color="auto"/>
            </w:tcBorders>
          </w:tcPr>
          <w:p w:rsidR="006A1648" w:rsidRDefault="006A1648">
            <w:pPr>
              <w:rPr>
                <w:rFonts w:ascii="Arial" w:hAnsi="Arial"/>
              </w:rPr>
            </w:pPr>
          </w:p>
        </w:tc>
        <w:tc>
          <w:tcPr>
            <w:tcW w:w="9072" w:type="dxa"/>
            <w:gridSpan w:val="2"/>
            <w:tcBorders>
              <w:bottom w:val="single" w:sz="4" w:space="0" w:color="auto"/>
            </w:tcBorders>
          </w:tcPr>
          <w:p w:rsidR="006A1648" w:rsidRPr="00A75A69" w:rsidRDefault="006A1648" w:rsidP="00A75A69">
            <w:pPr>
              <w:jc w:val="center"/>
              <w:rPr>
                <w:rFonts w:ascii="Arial" w:hAnsi="Arial"/>
                <w:b/>
                <w:sz w:val="24"/>
              </w:rPr>
            </w:pPr>
            <w:r w:rsidRPr="00A75A69">
              <w:rPr>
                <w:rFonts w:ascii="Arial" w:hAnsi="Arial"/>
                <w:b/>
                <w:sz w:val="24"/>
              </w:rPr>
              <w:t xml:space="preserve">TC </w:t>
            </w:r>
            <w:r w:rsidR="00D47CF4" w:rsidRPr="00A75A69">
              <w:rPr>
                <w:rFonts w:ascii="Arial" w:hAnsi="Arial"/>
                <w:b/>
                <w:sz w:val="24"/>
              </w:rPr>
              <w:t>7.5 Handbook</w:t>
            </w:r>
            <w:r w:rsidRPr="00A75A69">
              <w:rPr>
                <w:rFonts w:ascii="Arial" w:hAnsi="Arial"/>
                <w:b/>
                <w:sz w:val="24"/>
              </w:rPr>
              <w:t xml:space="preserve"> Subcommittee</w:t>
            </w:r>
          </w:p>
          <w:p w:rsidR="006A1648" w:rsidRPr="00A75A69" w:rsidRDefault="00A75A69" w:rsidP="00A75A69">
            <w:pPr>
              <w:jc w:val="center"/>
              <w:rPr>
                <w:rFonts w:ascii="Arial" w:hAnsi="Arial"/>
              </w:rPr>
            </w:pPr>
            <w:r w:rsidRPr="00A75A69">
              <w:rPr>
                <w:rFonts w:ascii="Arial" w:hAnsi="Arial"/>
              </w:rPr>
              <w:t xml:space="preserve">4:45 </w:t>
            </w:r>
            <w:r w:rsidR="006A1648" w:rsidRPr="00A75A69">
              <w:rPr>
                <w:rFonts w:ascii="Arial" w:hAnsi="Arial"/>
              </w:rPr>
              <w:t>-</w:t>
            </w:r>
            <w:r w:rsidRPr="00A75A69">
              <w:rPr>
                <w:rFonts w:ascii="Arial" w:hAnsi="Arial"/>
              </w:rPr>
              <w:t xml:space="preserve"> 5</w:t>
            </w:r>
            <w:r w:rsidR="006A1648" w:rsidRPr="00A75A69">
              <w:rPr>
                <w:rFonts w:ascii="Arial" w:hAnsi="Arial"/>
              </w:rPr>
              <w:t>:</w:t>
            </w:r>
            <w:r w:rsidRPr="00A75A69">
              <w:rPr>
                <w:rFonts w:ascii="Arial" w:hAnsi="Arial"/>
              </w:rPr>
              <w:t>3</w:t>
            </w:r>
            <w:r w:rsidR="00C76046" w:rsidRPr="00A75A69">
              <w:rPr>
                <w:rFonts w:ascii="Arial" w:hAnsi="Arial"/>
              </w:rPr>
              <w:t xml:space="preserve">0 pm, </w:t>
            </w:r>
            <w:r w:rsidR="00D47CF4" w:rsidRPr="00A75A69">
              <w:rPr>
                <w:rFonts w:ascii="Arial" w:hAnsi="Arial"/>
              </w:rPr>
              <w:t>Sunday</w:t>
            </w:r>
            <w:r w:rsidR="00C76046" w:rsidRPr="00A75A69">
              <w:rPr>
                <w:rFonts w:ascii="Arial" w:hAnsi="Arial"/>
              </w:rPr>
              <w:t xml:space="preserve">, </w:t>
            </w:r>
            <w:r w:rsidR="004640F1">
              <w:rPr>
                <w:rFonts w:ascii="Arial" w:hAnsi="Arial"/>
              </w:rPr>
              <w:t>25</w:t>
            </w:r>
            <w:r w:rsidR="004C10AF">
              <w:rPr>
                <w:rFonts w:ascii="Arial" w:hAnsi="Arial"/>
              </w:rPr>
              <w:t xml:space="preserve"> </w:t>
            </w:r>
            <w:r w:rsidR="004640F1">
              <w:rPr>
                <w:rFonts w:ascii="Arial" w:hAnsi="Arial"/>
              </w:rPr>
              <w:t>June</w:t>
            </w:r>
            <w:r w:rsidR="004C10AF">
              <w:rPr>
                <w:rFonts w:ascii="Arial" w:hAnsi="Arial"/>
              </w:rPr>
              <w:t xml:space="preserve"> 2017</w:t>
            </w:r>
          </w:p>
          <w:p w:rsidR="00A75A69" w:rsidRPr="00A75A69" w:rsidRDefault="004640F1" w:rsidP="00A75A69">
            <w:pPr>
              <w:jc w:val="center"/>
              <w:rPr>
                <w:rFonts w:ascii="Arial" w:hAnsi="Arial"/>
              </w:rPr>
            </w:pPr>
            <w:r>
              <w:rPr>
                <w:rFonts w:ascii="Arial" w:hAnsi="Arial"/>
              </w:rPr>
              <w:t>Long Beach Convention Center</w:t>
            </w:r>
          </w:p>
          <w:p w:rsidR="006A1648" w:rsidRPr="00A75A69" w:rsidRDefault="004640F1" w:rsidP="00A75A69">
            <w:pPr>
              <w:jc w:val="center"/>
              <w:rPr>
                <w:rFonts w:ascii="Arial" w:hAnsi="Arial"/>
              </w:rPr>
            </w:pPr>
            <w:r>
              <w:rPr>
                <w:rFonts w:ascii="Arial" w:hAnsi="Arial"/>
              </w:rPr>
              <w:t>Room 204</w:t>
            </w:r>
          </w:p>
          <w:p w:rsidR="006A1648" w:rsidRPr="00A75A69" w:rsidRDefault="004640F1" w:rsidP="00A75A69">
            <w:pPr>
              <w:jc w:val="center"/>
              <w:rPr>
                <w:rFonts w:ascii="Arial" w:hAnsi="Arial"/>
              </w:rPr>
            </w:pPr>
            <w:r>
              <w:rPr>
                <w:rFonts w:ascii="Arial" w:hAnsi="Arial"/>
              </w:rPr>
              <w:t>Long Beach, CA</w:t>
            </w:r>
          </w:p>
          <w:p w:rsidR="006A1648" w:rsidRPr="00A75A69" w:rsidRDefault="006A1648" w:rsidP="00A75A69">
            <w:pPr>
              <w:jc w:val="center"/>
              <w:rPr>
                <w:rFonts w:ascii="Arial" w:hAnsi="Arial"/>
                <w:sz w:val="24"/>
              </w:rPr>
            </w:pPr>
          </w:p>
        </w:tc>
      </w:tr>
      <w:tr w:rsidR="006A1648" w:rsidTr="00627BA1">
        <w:tc>
          <w:tcPr>
            <w:tcW w:w="1818" w:type="dxa"/>
            <w:gridSpan w:val="2"/>
            <w:tcBorders>
              <w:top w:val="single" w:sz="4" w:space="0" w:color="auto"/>
            </w:tcBorders>
          </w:tcPr>
          <w:p w:rsidR="006A1648" w:rsidRDefault="006A1648">
            <w:pPr>
              <w:rPr>
                <w:rFonts w:ascii="Arial" w:hAnsi="Arial"/>
              </w:rPr>
            </w:pPr>
          </w:p>
        </w:tc>
        <w:tc>
          <w:tcPr>
            <w:tcW w:w="9072" w:type="dxa"/>
            <w:gridSpan w:val="2"/>
            <w:tcBorders>
              <w:top w:val="single" w:sz="4" w:space="0" w:color="auto"/>
            </w:tcBorders>
          </w:tcPr>
          <w:p w:rsidR="006A1648" w:rsidRDefault="006A1648" w:rsidP="006A1648">
            <w:pPr>
              <w:pStyle w:val="Heading4"/>
              <w:tabs>
                <w:tab w:val="clear" w:pos="0"/>
                <w:tab w:val="clear" w:pos="360"/>
                <w:tab w:val="clear" w:pos="720"/>
                <w:tab w:val="clear" w:pos="1080"/>
                <w:tab w:val="clear" w:pos="1440"/>
                <w:tab w:val="clear" w:pos="1800"/>
                <w:tab w:val="clear" w:pos="2160"/>
                <w:tab w:val="clear" w:pos="2880"/>
                <w:tab w:val="clear" w:pos="3600"/>
                <w:tab w:val="clear" w:pos="4320"/>
                <w:tab w:val="clear" w:pos="5040"/>
                <w:tab w:val="clear" w:pos="5760"/>
                <w:tab w:val="clear" w:pos="6120"/>
                <w:tab w:val="clear" w:pos="6480"/>
                <w:tab w:val="clear" w:pos="6840"/>
                <w:tab w:val="clear" w:pos="7200"/>
                <w:tab w:val="clear" w:pos="7560"/>
                <w:tab w:val="clear" w:pos="7920"/>
              </w:tabs>
              <w:suppressAutoHyphens w:val="0"/>
              <w:rPr>
                <w:rFonts w:ascii="Arial" w:hAnsi="Arial"/>
              </w:rPr>
            </w:pPr>
          </w:p>
        </w:tc>
      </w:tr>
      <w:tr w:rsidR="00754A23" w:rsidTr="003A2E89">
        <w:tc>
          <w:tcPr>
            <w:tcW w:w="763" w:type="dxa"/>
          </w:tcPr>
          <w:p w:rsidR="00754A23" w:rsidRDefault="00754A23" w:rsidP="003A2E89">
            <w:pPr>
              <w:rPr>
                <w:rFonts w:ascii="Arial" w:hAnsi="Arial"/>
              </w:rPr>
            </w:pPr>
          </w:p>
        </w:tc>
        <w:tc>
          <w:tcPr>
            <w:tcW w:w="10127" w:type="dxa"/>
            <w:gridSpan w:val="3"/>
          </w:tcPr>
          <w:p w:rsidR="00754A23" w:rsidRDefault="00754A23" w:rsidP="003A2E89">
            <w:pPr>
              <w:rPr>
                <w:rFonts w:ascii="Arial" w:hAnsi="Arial"/>
              </w:rPr>
            </w:pPr>
          </w:p>
          <w:p w:rsidR="00754A23" w:rsidRPr="00146D6D" w:rsidRDefault="00754A23" w:rsidP="003A2E89">
            <w:pPr>
              <w:rPr>
                <w:rFonts w:ascii="Arial" w:hAnsi="Arial"/>
                <w:b/>
              </w:rPr>
            </w:pPr>
            <w:r w:rsidRPr="00146D6D">
              <w:rPr>
                <w:rFonts w:ascii="Arial" w:hAnsi="Arial"/>
                <w:b/>
                <w:u w:val="single"/>
              </w:rPr>
              <w:t>Objective for this Meeting</w:t>
            </w:r>
            <w:r w:rsidRPr="00146D6D">
              <w:rPr>
                <w:rFonts w:ascii="Arial" w:hAnsi="Arial"/>
                <w:b/>
              </w:rPr>
              <w:t xml:space="preserve">: </w:t>
            </w:r>
            <w:r>
              <w:rPr>
                <w:rFonts w:ascii="Arial" w:hAnsi="Arial"/>
                <w:b/>
              </w:rPr>
              <w:t xml:space="preserve">Review </w:t>
            </w:r>
            <w:r w:rsidR="004640F1">
              <w:rPr>
                <w:rFonts w:ascii="Arial" w:hAnsi="Arial"/>
                <w:b/>
              </w:rPr>
              <w:t>edits to date and assign sections for review and editing.</w:t>
            </w:r>
          </w:p>
          <w:p w:rsidR="00754A23" w:rsidRDefault="00754A23" w:rsidP="003A2E89">
            <w:pPr>
              <w:rPr>
                <w:rFonts w:ascii="Arial" w:hAnsi="Arial"/>
              </w:rPr>
            </w:pPr>
          </w:p>
        </w:tc>
      </w:tr>
      <w:tr w:rsidR="00F2307A" w:rsidTr="00627BA1">
        <w:tc>
          <w:tcPr>
            <w:tcW w:w="763" w:type="dxa"/>
          </w:tcPr>
          <w:p w:rsidR="00F2307A" w:rsidRDefault="00A75A69" w:rsidP="005B79FA">
            <w:pPr>
              <w:rPr>
                <w:rFonts w:ascii="Arial" w:hAnsi="Arial"/>
              </w:rPr>
            </w:pPr>
            <w:r>
              <w:rPr>
                <w:rFonts w:ascii="Arial" w:hAnsi="Arial"/>
              </w:rPr>
              <w:t>4:45</w:t>
            </w:r>
          </w:p>
        </w:tc>
        <w:tc>
          <w:tcPr>
            <w:tcW w:w="10127" w:type="dxa"/>
            <w:gridSpan w:val="3"/>
          </w:tcPr>
          <w:p w:rsidR="00F2307A" w:rsidRDefault="00F2307A" w:rsidP="006059E3">
            <w:pPr>
              <w:rPr>
                <w:rFonts w:ascii="Arial" w:hAnsi="Arial"/>
              </w:rPr>
            </w:pPr>
            <w:r>
              <w:rPr>
                <w:rFonts w:ascii="Arial" w:hAnsi="Arial"/>
              </w:rPr>
              <w:t>Call to order / introductions / changes to the agenda</w:t>
            </w:r>
          </w:p>
        </w:tc>
      </w:tr>
      <w:tr w:rsidR="009700F9" w:rsidTr="00627BA1">
        <w:tc>
          <w:tcPr>
            <w:tcW w:w="763" w:type="dxa"/>
          </w:tcPr>
          <w:p w:rsidR="009700F9" w:rsidRDefault="009700F9" w:rsidP="005B79FA">
            <w:pPr>
              <w:rPr>
                <w:rFonts w:ascii="Arial" w:hAnsi="Arial"/>
              </w:rPr>
            </w:pPr>
          </w:p>
        </w:tc>
        <w:tc>
          <w:tcPr>
            <w:tcW w:w="10127" w:type="dxa"/>
            <w:gridSpan w:val="3"/>
          </w:tcPr>
          <w:p w:rsidR="009700F9" w:rsidRDefault="009700F9" w:rsidP="00D47CF4">
            <w:pPr>
              <w:rPr>
                <w:rFonts w:ascii="Arial" w:hAnsi="Arial"/>
              </w:rPr>
            </w:pPr>
          </w:p>
        </w:tc>
      </w:tr>
      <w:tr w:rsidR="009700F9" w:rsidTr="00627BA1">
        <w:tc>
          <w:tcPr>
            <w:tcW w:w="763" w:type="dxa"/>
          </w:tcPr>
          <w:p w:rsidR="009700F9" w:rsidRDefault="009700F9" w:rsidP="005B79FA">
            <w:pPr>
              <w:rPr>
                <w:rFonts w:ascii="Arial" w:hAnsi="Arial"/>
              </w:rPr>
            </w:pPr>
          </w:p>
        </w:tc>
        <w:tc>
          <w:tcPr>
            <w:tcW w:w="10127" w:type="dxa"/>
            <w:gridSpan w:val="3"/>
          </w:tcPr>
          <w:p w:rsidR="009700F9" w:rsidRDefault="009700F9" w:rsidP="00D47CF4">
            <w:pPr>
              <w:rPr>
                <w:rFonts w:ascii="Arial" w:hAnsi="Arial"/>
              </w:rPr>
            </w:pPr>
            <w:r>
              <w:rPr>
                <w:rFonts w:ascii="Arial" w:hAnsi="Arial"/>
              </w:rPr>
              <w:t>Liaison Comments</w:t>
            </w:r>
          </w:p>
        </w:tc>
      </w:tr>
      <w:tr w:rsidR="006059E3" w:rsidTr="00627BA1">
        <w:tc>
          <w:tcPr>
            <w:tcW w:w="763" w:type="dxa"/>
          </w:tcPr>
          <w:p w:rsidR="006059E3" w:rsidRDefault="006059E3" w:rsidP="005B79FA">
            <w:pPr>
              <w:rPr>
                <w:rFonts w:ascii="Arial" w:hAnsi="Arial"/>
              </w:rPr>
            </w:pPr>
          </w:p>
        </w:tc>
        <w:tc>
          <w:tcPr>
            <w:tcW w:w="10127" w:type="dxa"/>
            <w:gridSpan w:val="3"/>
          </w:tcPr>
          <w:p w:rsidR="006059E3" w:rsidRDefault="006059E3" w:rsidP="00D47CF4">
            <w:pPr>
              <w:rPr>
                <w:rFonts w:ascii="Arial" w:hAnsi="Arial"/>
              </w:rPr>
            </w:pPr>
            <w:r>
              <w:rPr>
                <w:rFonts w:ascii="Arial" w:hAnsi="Arial"/>
              </w:rPr>
              <w:t xml:space="preserve">TC 1.4 </w:t>
            </w:r>
            <w:r w:rsidR="00FF2268">
              <w:rPr>
                <w:rFonts w:ascii="Arial" w:hAnsi="Arial"/>
              </w:rPr>
              <w:t>Control Theory and Application</w:t>
            </w:r>
          </w:p>
        </w:tc>
      </w:tr>
      <w:tr w:rsidR="00F2307A" w:rsidTr="00627BA1">
        <w:tc>
          <w:tcPr>
            <w:tcW w:w="763" w:type="dxa"/>
          </w:tcPr>
          <w:p w:rsidR="00F2307A" w:rsidRDefault="00F2307A">
            <w:pPr>
              <w:rPr>
                <w:rFonts w:ascii="Arial" w:hAnsi="Arial"/>
              </w:rPr>
            </w:pPr>
          </w:p>
        </w:tc>
        <w:tc>
          <w:tcPr>
            <w:tcW w:w="10127" w:type="dxa"/>
            <w:gridSpan w:val="3"/>
          </w:tcPr>
          <w:p w:rsidR="00F2307A" w:rsidRDefault="009700F9" w:rsidP="006704C4">
            <w:pPr>
              <w:rPr>
                <w:rFonts w:ascii="Arial" w:hAnsi="Arial"/>
              </w:rPr>
            </w:pPr>
            <w:r>
              <w:rPr>
                <w:rFonts w:ascii="Arial" w:hAnsi="Arial"/>
              </w:rPr>
              <w:t xml:space="preserve">TC 1.5 Computer Applications (wireless </w:t>
            </w:r>
            <w:r w:rsidR="006704C4">
              <w:rPr>
                <w:rFonts w:ascii="Arial" w:hAnsi="Arial"/>
              </w:rPr>
              <w:t>communications subsection starting at page 40.19</w:t>
            </w:r>
            <w:r>
              <w:rPr>
                <w:rFonts w:ascii="Arial" w:hAnsi="Arial"/>
              </w:rPr>
              <w:t>)</w:t>
            </w:r>
          </w:p>
        </w:tc>
      </w:tr>
      <w:tr w:rsidR="009700F9" w:rsidTr="00627BA1">
        <w:tc>
          <w:tcPr>
            <w:tcW w:w="763" w:type="dxa"/>
          </w:tcPr>
          <w:p w:rsidR="009700F9" w:rsidRDefault="009700F9">
            <w:pPr>
              <w:rPr>
                <w:rFonts w:ascii="Arial" w:hAnsi="Arial"/>
              </w:rPr>
            </w:pPr>
          </w:p>
        </w:tc>
        <w:tc>
          <w:tcPr>
            <w:tcW w:w="10127" w:type="dxa"/>
            <w:gridSpan w:val="3"/>
          </w:tcPr>
          <w:p w:rsidR="009700F9" w:rsidRDefault="009700F9">
            <w:pPr>
              <w:rPr>
                <w:rFonts w:ascii="Arial" w:hAnsi="Arial"/>
              </w:rPr>
            </w:pPr>
            <w:r>
              <w:rPr>
                <w:rFonts w:ascii="Arial" w:hAnsi="Arial"/>
              </w:rPr>
              <w:t>TC 7.3 Operation and Maintenance Management (</w:t>
            </w:r>
            <w:r w:rsidR="006704C4">
              <w:rPr>
                <w:rFonts w:ascii="Arial" w:hAnsi="Arial"/>
              </w:rPr>
              <w:t>A</w:t>
            </w:r>
            <w:r>
              <w:rPr>
                <w:rFonts w:ascii="Arial" w:hAnsi="Arial"/>
              </w:rPr>
              <w:t>FDD</w:t>
            </w:r>
            <w:r w:rsidR="006704C4">
              <w:rPr>
                <w:rFonts w:ascii="Arial" w:hAnsi="Arial"/>
              </w:rPr>
              <w:t xml:space="preserve"> subsection starting at page 39.5</w:t>
            </w:r>
            <w:r>
              <w:rPr>
                <w:rFonts w:ascii="Arial" w:hAnsi="Arial"/>
              </w:rPr>
              <w:t>)</w:t>
            </w:r>
          </w:p>
          <w:p w:rsidR="00754A23" w:rsidRDefault="00754A23">
            <w:pPr>
              <w:rPr>
                <w:rFonts w:ascii="Arial" w:hAnsi="Arial"/>
              </w:rPr>
            </w:pPr>
          </w:p>
        </w:tc>
      </w:tr>
      <w:tr w:rsidR="00F2307A" w:rsidTr="00627BA1">
        <w:tc>
          <w:tcPr>
            <w:tcW w:w="763" w:type="dxa"/>
          </w:tcPr>
          <w:p w:rsidR="00F2307A" w:rsidRDefault="004640F1" w:rsidP="005024D5">
            <w:pPr>
              <w:rPr>
                <w:rFonts w:ascii="Arial" w:hAnsi="Arial"/>
              </w:rPr>
            </w:pPr>
            <w:r>
              <w:rPr>
                <w:rFonts w:ascii="Arial" w:hAnsi="Arial"/>
              </w:rPr>
              <w:t>4</w:t>
            </w:r>
            <w:r w:rsidR="00A75A69">
              <w:rPr>
                <w:rFonts w:ascii="Arial" w:hAnsi="Arial"/>
              </w:rPr>
              <w:t>:</w:t>
            </w:r>
            <w:r>
              <w:rPr>
                <w:rFonts w:ascii="Arial" w:hAnsi="Arial"/>
              </w:rPr>
              <w:t>5</w:t>
            </w:r>
            <w:r w:rsidR="005024D5">
              <w:rPr>
                <w:rFonts w:ascii="Arial" w:hAnsi="Arial"/>
              </w:rPr>
              <w:t>0</w:t>
            </w:r>
          </w:p>
        </w:tc>
        <w:tc>
          <w:tcPr>
            <w:tcW w:w="10127" w:type="dxa"/>
            <w:gridSpan w:val="3"/>
          </w:tcPr>
          <w:p w:rsidR="00F2307A" w:rsidRPr="009700F9" w:rsidRDefault="00DF23B5" w:rsidP="006704C4">
            <w:pPr>
              <w:ind w:left="29"/>
              <w:rPr>
                <w:rFonts w:ascii="Arial" w:hAnsi="Arial"/>
              </w:rPr>
            </w:pPr>
            <w:r>
              <w:rPr>
                <w:rFonts w:ascii="Arial" w:hAnsi="Arial"/>
                <w:b/>
              </w:rPr>
              <w:t>Smart Building</w:t>
            </w:r>
            <w:r w:rsidR="006704C4">
              <w:rPr>
                <w:rFonts w:ascii="Arial" w:hAnsi="Arial"/>
                <w:b/>
              </w:rPr>
              <w:t xml:space="preserve"> Systems</w:t>
            </w:r>
            <w:r>
              <w:rPr>
                <w:rFonts w:ascii="Arial" w:hAnsi="Arial"/>
                <w:b/>
              </w:rPr>
              <w:t xml:space="preserve"> (Chapter 61 in 2015 Handbook)</w:t>
            </w:r>
            <w:r w:rsidR="009700F9">
              <w:rPr>
                <w:rFonts w:ascii="Arial" w:hAnsi="Arial"/>
              </w:rPr>
              <w:t xml:space="preserve">, </w:t>
            </w:r>
          </w:p>
        </w:tc>
      </w:tr>
      <w:tr w:rsidR="006059E3" w:rsidTr="00627BA1">
        <w:tc>
          <w:tcPr>
            <w:tcW w:w="763" w:type="dxa"/>
          </w:tcPr>
          <w:p w:rsidR="006059E3" w:rsidRDefault="006059E3" w:rsidP="00D47CF4">
            <w:pPr>
              <w:rPr>
                <w:rFonts w:ascii="Arial" w:hAnsi="Arial"/>
              </w:rPr>
            </w:pPr>
          </w:p>
        </w:tc>
        <w:tc>
          <w:tcPr>
            <w:tcW w:w="10127" w:type="dxa"/>
            <w:gridSpan w:val="3"/>
          </w:tcPr>
          <w:p w:rsidR="006059E3" w:rsidRPr="006059E3" w:rsidRDefault="006059E3" w:rsidP="006059E3">
            <w:pPr>
              <w:ind w:left="389"/>
              <w:rPr>
                <w:rFonts w:ascii="Arial" w:hAnsi="Arial"/>
              </w:rPr>
            </w:pPr>
            <w:r w:rsidRPr="006059E3">
              <w:rPr>
                <w:rFonts w:ascii="Arial" w:hAnsi="Arial"/>
              </w:rPr>
              <w:t>Chapter Focus: Smart building systems are building components that exhibit characteristics analogous to human intelligence. These characteristics include drawing conclusions from data or analyses of data rather than simply generating more data or plots of data, interpreting information or data to reach new conclusions, and making decisions and/or taking action autonomously without being explicitly instructed or programmed to take the specific action. These capabilities are usually associated with software, but they can also be possessed by hardware with embedded software code, or firmware. The line between systems that are “smart” and “not smart” is blurry, and, for purposes of this chapter, does not need to be absolutely defined. The purpose of this chapter is to introduce readers to emerging technologies that possess some of these smart characteristics.</w:t>
            </w:r>
          </w:p>
          <w:p w:rsidR="006059E3" w:rsidRPr="006059E3" w:rsidRDefault="006059E3" w:rsidP="00DF23B5">
            <w:pPr>
              <w:rPr>
                <w:rFonts w:ascii="Arial" w:hAnsi="Arial"/>
                <w:b/>
              </w:rPr>
            </w:pPr>
          </w:p>
        </w:tc>
      </w:tr>
      <w:tr w:rsidR="00DF23B5" w:rsidTr="00627BA1">
        <w:tc>
          <w:tcPr>
            <w:tcW w:w="763" w:type="dxa"/>
          </w:tcPr>
          <w:p w:rsidR="00DF23B5" w:rsidRDefault="00DF23B5" w:rsidP="00D47CF4">
            <w:pPr>
              <w:rPr>
                <w:rFonts w:ascii="Arial" w:hAnsi="Arial"/>
              </w:rPr>
            </w:pPr>
          </w:p>
        </w:tc>
        <w:tc>
          <w:tcPr>
            <w:tcW w:w="10127" w:type="dxa"/>
            <w:gridSpan w:val="3"/>
          </w:tcPr>
          <w:p w:rsidR="00DF23B5" w:rsidRPr="006059E3" w:rsidRDefault="00DF23B5" w:rsidP="00DF23B5">
            <w:pPr>
              <w:ind w:left="389"/>
              <w:rPr>
                <w:rFonts w:ascii="Arial" w:hAnsi="Arial"/>
              </w:rPr>
            </w:pPr>
            <w:r w:rsidRPr="006059E3">
              <w:rPr>
                <w:rFonts w:ascii="Arial" w:hAnsi="Arial"/>
                <w:b/>
              </w:rPr>
              <w:t>Current Subsections</w:t>
            </w:r>
            <w:r w:rsidR="00754A23">
              <w:rPr>
                <w:rFonts w:ascii="Arial" w:hAnsi="Arial"/>
                <w:b/>
              </w:rPr>
              <w:t xml:space="preserve">: </w:t>
            </w:r>
            <w:r w:rsidR="00754A23">
              <w:rPr>
                <w:rFonts w:ascii="Arial" w:hAnsi="Arial"/>
              </w:rPr>
              <w:t xml:space="preserve">AFDD, </w:t>
            </w:r>
            <w:r w:rsidR="00754A23" w:rsidRPr="009700F9">
              <w:rPr>
                <w:rFonts w:ascii="Arial" w:hAnsi="Arial"/>
              </w:rPr>
              <w:t>Sensing and Actuating Systems</w:t>
            </w:r>
            <w:r w:rsidR="00754A23">
              <w:rPr>
                <w:rFonts w:ascii="Arial" w:hAnsi="Arial"/>
              </w:rPr>
              <w:t xml:space="preserve">, </w:t>
            </w:r>
            <w:r w:rsidR="00754A23" w:rsidRPr="009700F9">
              <w:rPr>
                <w:rFonts w:ascii="Arial" w:hAnsi="Arial"/>
              </w:rPr>
              <w:t>Smart Grid Basics</w:t>
            </w:r>
          </w:p>
        </w:tc>
      </w:tr>
      <w:tr w:rsidR="00F2307A" w:rsidTr="007F1CD1">
        <w:trPr>
          <w:trHeight w:val="180"/>
        </w:trPr>
        <w:tc>
          <w:tcPr>
            <w:tcW w:w="763" w:type="dxa"/>
          </w:tcPr>
          <w:p w:rsidR="00F2307A" w:rsidRDefault="00F2307A">
            <w:pPr>
              <w:numPr>
                <w:ilvl w:val="12"/>
                <w:numId w:val="0"/>
              </w:numPr>
              <w:rPr>
                <w:rFonts w:ascii="Arial" w:hAnsi="Arial"/>
              </w:rPr>
            </w:pPr>
          </w:p>
        </w:tc>
        <w:tc>
          <w:tcPr>
            <w:tcW w:w="10127" w:type="dxa"/>
            <w:gridSpan w:val="3"/>
          </w:tcPr>
          <w:p w:rsidR="007E2318" w:rsidRPr="007E2318" w:rsidRDefault="007E2318" w:rsidP="007E2318">
            <w:pPr>
              <w:tabs>
                <w:tab w:val="left" w:pos="360"/>
              </w:tabs>
              <w:rPr>
                <w:rFonts w:ascii="Arial" w:hAnsi="Arial"/>
              </w:rPr>
            </w:pPr>
          </w:p>
        </w:tc>
      </w:tr>
      <w:tr w:rsidR="00F2307A" w:rsidTr="00627BA1">
        <w:tc>
          <w:tcPr>
            <w:tcW w:w="763" w:type="dxa"/>
          </w:tcPr>
          <w:p w:rsidR="00F2307A" w:rsidRDefault="009700F9" w:rsidP="004640F1">
            <w:pPr>
              <w:rPr>
                <w:rFonts w:ascii="Arial" w:hAnsi="Arial"/>
              </w:rPr>
            </w:pPr>
            <w:r>
              <w:rPr>
                <w:rFonts w:ascii="Arial" w:hAnsi="Arial"/>
              </w:rPr>
              <w:t>5</w:t>
            </w:r>
            <w:r w:rsidR="00F2307A">
              <w:rPr>
                <w:rFonts w:ascii="Arial" w:hAnsi="Arial"/>
              </w:rPr>
              <w:t>:</w:t>
            </w:r>
            <w:r w:rsidR="004640F1">
              <w:rPr>
                <w:rFonts w:ascii="Arial" w:hAnsi="Arial"/>
              </w:rPr>
              <w:t>10</w:t>
            </w:r>
            <w:bookmarkStart w:id="0" w:name="_GoBack"/>
            <w:bookmarkEnd w:id="0"/>
          </w:p>
        </w:tc>
        <w:tc>
          <w:tcPr>
            <w:tcW w:w="10127" w:type="dxa"/>
            <w:gridSpan w:val="3"/>
          </w:tcPr>
          <w:p w:rsidR="000569A3" w:rsidRPr="006F29A0" w:rsidRDefault="006059E3" w:rsidP="006F29A0">
            <w:pPr>
              <w:rPr>
                <w:rFonts w:ascii="Arial" w:hAnsi="Arial"/>
                <w:b/>
              </w:rPr>
            </w:pPr>
            <w:r>
              <w:rPr>
                <w:rFonts w:ascii="Arial" w:hAnsi="Arial"/>
                <w:b/>
              </w:rPr>
              <w:t>Supervisory Control Strategies and Optimization Chapter</w:t>
            </w:r>
            <w:r w:rsidR="006E0C55">
              <w:rPr>
                <w:rFonts w:ascii="Arial" w:hAnsi="Arial"/>
                <w:b/>
              </w:rPr>
              <w:t xml:space="preserve"> (Chapter 42 in 2015 Handbook)</w:t>
            </w:r>
          </w:p>
        </w:tc>
      </w:tr>
      <w:tr w:rsidR="00B10CE0" w:rsidTr="00627BA1">
        <w:trPr>
          <w:trHeight w:val="144"/>
        </w:trPr>
        <w:tc>
          <w:tcPr>
            <w:tcW w:w="763" w:type="dxa"/>
          </w:tcPr>
          <w:p w:rsidR="00B10CE0" w:rsidRDefault="00B10CE0">
            <w:pPr>
              <w:rPr>
                <w:rFonts w:ascii="Arial" w:hAnsi="Arial"/>
              </w:rPr>
            </w:pPr>
          </w:p>
        </w:tc>
        <w:tc>
          <w:tcPr>
            <w:tcW w:w="10127" w:type="dxa"/>
            <w:gridSpan w:val="3"/>
          </w:tcPr>
          <w:p w:rsidR="006059E3" w:rsidRPr="006059E3" w:rsidRDefault="006059E3" w:rsidP="006059E3">
            <w:pPr>
              <w:ind w:left="389"/>
              <w:rPr>
                <w:rFonts w:ascii="Arial" w:hAnsi="Arial"/>
              </w:rPr>
            </w:pPr>
            <w:r w:rsidRPr="006059E3">
              <w:rPr>
                <w:rFonts w:ascii="Arial" w:hAnsi="Arial"/>
              </w:rPr>
              <w:t>Computerized building and energy management and control systems provide a variety of effective ways to reduce utility costs and energy consumption associated with maintaining environmental conditions and thermal comfort in buildings. These systems can incorporate advanced control strategies that respond to inputs including changing weather, building conditions, occupancy levels and utility rates to minimize operating costs, energy consumption and greenhouse gas emissions while also enhancing occupant comfort. This chapter focuses on the opportunities and control strategies associated with using supervisory control strategies and optimization methods applied to cooling systems, heating systems, air-handling units, and zone equipment.</w:t>
            </w:r>
          </w:p>
          <w:p w:rsidR="00725B6D" w:rsidRPr="00BC2D95" w:rsidRDefault="00725B6D" w:rsidP="006059E3">
            <w:pPr>
              <w:ind w:left="389"/>
              <w:rPr>
                <w:rFonts w:ascii="Arial" w:hAnsi="Arial"/>
              </w:rPr>
            </w:pPr>
          </w:p>
        </w:tc>
      </w:tr>
      <w:tr w:rsidR="00A56A7B" w:rsidTr="00627BA1">
        <w:tc>
          <w:tcPr>
            <w:tcW w:w="763" w:type="dxa"/>
          </w:tcPr>
          <w:p w:rsidR="00A56A7B" w:rsidRDefault="00A56A7B" w:rsidP="00051661">
            <w:pPr>
              <w:rPr>
                <w:rFonts w:ascii="Arial" w:hAnsi="Arial"/>
              </w:rPr>
            </w:pPr>
          </w:p>
        </w:tc>
        <w:tc>
          <w:tcPr>
            <w:tcW w:w="10127" w:type="dxa"/>
            <w:gridSpan w:val="3"/>
          </w:tcPr>
          <w:p w:rsidR="00A56A7B" w:rsidRPr="006059E3" w:rsidRDefault="00A56A7B" w:rsidP="00051661">
            <w:pPr>
              <w:ind w:left="389"/>
              <w:rPr>
                <w:rFonts w:ascii="Arial" w:hAnsi="Arial"/>
              </w:rPr>
            </w:pPr>
            <w:r w:rsidRPr="006059E3">
              <w:rPr>
                <w:rFonts w:ascii="Arial" w:hAnsi="Arial"/>
                <w:b/>
              </w:rPr>
              <w:t>Current Subsections</w:t>
            </w:r>
          </w:p>
        </w:tc>
      </w:tr>
      <w:tr w:rsidR="00627BA1" w:rsidTr="00AF6348">
        <w:trPr>
          <w:trHeight w:val="702"/>
        </w:trPr>
        <w:tc>
          <w:tcPr>
            <w:tcW w:w="763" w:type="dxa"/>
          </w:tcPr>
          <w:p w:rsidR="00627BA1" w:rsidRDefault="00627BA1">
            <w:pPr>
              <w:rPr>
                <w:rFonts w:ascii="Arial" w:hAnsi="Arial"/>
              </w:rPr>
            </w:pPr>
          </w:p>
        </w:tc>
        <w:tc>
          <w:tcPr>
            <w:tcW w:w="10127" w:type="dxa"/>
            <w:gridSpan w:val="3"/>
          </w:tcPr>
          <w:p w:rsidR="00627BA1" w:rsidRDefault="00627BA1" w:rsidP="00627BA1">
            <w:pPr>
              <w:ind w:left="479"/>
              <w:rPr>
                <w:rFonts w:ascii="Arial" w:hAnsi="Arial"/>
              </w:rPr>
            </w:pPr>
            <w:r>
              <w:rPr>
                <w:rFonts w:ascii="Arial" w:hAnsi="Arial"/>
              </w:rPr>
              <w:t>Terminology</w:t>
            </w:r>
            <w:r w:rsidR="00EC7F49">
              <w:rPr>
                <w:rFonts w:ascii="Arial" w:hAnsi="Arial"/>
              </w:rPr>
              <w:t xml:space="preserve"> </w:t>
            </w:r>
          </w:p>
          <w:p w:rsidR="00627BA1" w:rsidRDefault="00627BA1" w:rsidP="00627BA1">
            <w:pPr>
              <w:ind w:left="479"/>
              <w:rPr>
                <w:rFonts w:ascii="Arial" w:hAnsi="Arial"/>
              </w:rPr>
            </w:pPr>
            <w:r>
              <w:rPr>
                <w:rFonts w:ascii="Arial" w:hAnsi="Arial"/>
              </w:rPr>
              <w:t>Methods</w:t>
            </w:r>
            <w:r w:rsidR="00CB5EF8">
              <w:rPr>
                <w:rFonts w:ascii="Arial" w:hAnsi="Arial"/>
              </w:rPr>
              <w:t xml:space="preserve"> (</w:t>
            </w:r>
            <w:r w:rsidR="00CB5EF8" w:rsidRPr="007F1CD1">
              <w:rPr>
                <w:rFonts w:ascii="Arial" w:hAnsi="Arial"/>
                <w:sz w:val="18"/>
                <w:szCs w:val="18"/>
              </w:rPr>
              <w:t>Control Variables, Supervisory Control Strategies, Static and Dynamic Optimization</w:t>
            </w:r>
            <w:r w:rsidR="00AF6348">
              <w:rPr>
                <w:rFonts w:ascii="Arial" w:hAnsi="Arial"/>
              </w:rPr>
              <w:t>)</w:t>
            </w:r>
          </w:p>
          <w:p w:rsidR="00627BA1" w:rsidRPr="00BC2D95" w:rsidRDefault="00627BA1" w:rsidP="00AF6348">
            <w:pPr>
              <w:ind w:left="479"/>
              <w:rPr>
                <w:rFonts w:ascii="Arial" w:hAnsi="Arial"/>
              </w:rPr>
            </w:pPr>
            <w:r>
              <w:rPr>
                <w:rFonts w:ascii="Arial" w:hAnsi="Arial"/>
              </w:rPr>
              <w:t>Control Strategies and Optimization for Cooling Systems</w:t>
            </w:r>
          </w:p>
        </w:tc>
      </w:tr>
      <w:tr w:rsidR="00AF6348" w:rsidTr="007F1CD1">
        <w:trPr>
          <w:trHeight w:val="144"/>
        </w:trPr>
        <w:tc>
          <w:tcPr>
            <w:tcW w:w="763" w:type="dxa"/>
          </w:tcPr>
          <w:p w:rsidR="00AF6348" w:rsidRDefault="00AF6348">
            <w:pPr>
              <w:rPr>
                <w:rFonts w:ascii="Arial" w:hAnsi="Arial"/>
              </w:rPr>
            </w:pPr>
          </w:p>
        </w:tc>
        <w:tc>
          <w:tcPr>
            <w:tcW w:w="6167" w:type="dxa"/>
            <w:gridSpan w:val="2"/>
          </w:tcPr>
          <w:p w:rsidR="00AF6348" w:rsidRPr="00AF6348" w:rsidRDefault="00AF6348" w:rsidP="00AF6348">
            <w:pPr>
              <w:ind w:left="479"/>
              <w:rPr>
                <w:rFonts w:ascii="Arial" w:hAnsi="Arial"/>
                <w:sz w:val="18"/>
                <w:szCs w:val="18"/>
              </w:rPr>
            </w:pPr>
            <w:r w:rsidRPr="00AF6348">
              <w:rPr>
                <w:rFonts w:ascii="Arial" w:hAnsi="Arial"/>
                <w:sz w:val="18"/>
                <w:szCs w:val="18"/>
              </w:rPr>
              <w:tab/>
              <w:t>Control Strategies for Cooling Tower Fans</w:t>
            </w:r>
          </w:p>
          <w:p w:rsidR="00AF6348" w:rsidRPr="00AF6348" w:rsidRDefault="00AF6348" w:rsidP="00AF6348">
            <w:pPr>
              <w:ind w:left="479"/>
              <w:rPr>
                <w:rFonts w:ascii="Arial" w:hAnsi="Arial"/>
                <w:sz w:val="18"/>
                <w:szCs w:val="18"/>
              </w:rPr>
            </w:pPr>
            <w:r w:rsidRPr="00AF6348">
              <w:rPr>
                <w:rFonts w:ascii="Arial" w:hAnsi="Arial"/>
                <w:sz w:val="18"/>
                <w:szCs w:val="18"/>
              </w:rPr>
              <w:tab/>
              <w:t>Chilled-Water Reset with Fixed-Speed Pumping</w:t>
            </w:r>
          </w:p>
          <w:p w:rsidR="00AF6348" w:rsidRDefault="00AF6348" w:rsidP="00AF6348">
            <w:pPr>
              <w:ind w:left="479"/>
              <w:rPr>
                <w:rFonts w:ascii="Arial" w:hAnsi="Arial"/>
                <w:sz w:val="18"/>
                <w:szCs w:val="18"/>
              </w:rPr>
            </w:pPr>
            <w:r w:rsidRPr="00AF6348">
              <w:rPr>
                <w:rFonts w:ascii="Arial" w:hAnsi="Arial"/>
                <w:sz w:val="18"/>
                <w:szCs w:val="18"/>
              </w:rPr>
              <w:tab/>
              <w:t>Chilled-Water Reset with Variable-Speed Pumping</w:t>
            </w:r>
          </w:p>
          <w:p w:rsidR="00AF6348" w:rsidRDefault="00AF6348" w:rsidP="00AF6348">
            <w:pPr>
              <w:ind w:left="479"/>
              <w:rPr>
                <w:rFonts w:ascii="Arial" w:hAnsi="Arial"/>
                <w:sz w:val="18"/>
                <w:szCs w:val="18"/>
              </w:rPr>
            </w:pPr>
            <w:r>
              <w:rPr>
                <w:rFonts w:ascii="Arial" w:hAnsi="Arial"/>
                <w:sz w:val="18"/>
                <w:szCs w:val="18"/>
              </w:rPr>
              <w:tab/>
              <w:t>Sequencing and Loading Multiple Chillers</w:t>
            </w:r>
          </w:p>
          <w:p w:rsidR="007F1CD1" w:rsidRDefault="00AF6348" w:rsidP="00AF6348">
            <w:pPr>
              <w:ind w:left="479"/>
              <w:rPr>
                <w:rFonts w:ascii="Arial" w:hAnsi="Arial"/>
                <w:sz w:val="18"/>
                <w:szCs w:val="18"/>
              </w:rPr>
            </w:pPr>
            <w:r>
              <w:rPr>
                <w:rFonts w:ascii="Arial" w:hAnsi="Arial"/>
                <w:sz w:val="18"/>
                <w:szCs w:val="18"/>
              </w:rPr>
              <w:tab/>
              <w:t>Simplified Static Optimization of Cooling Plants</w:t>
            </w:r>
          </w:p>
          <w:p w:rsidR="00AF6348" w:rsidRDefault="00AF6348" w:rsidP="00AF6348">
            <w:pPr>
              <w:ind w:left="479"/>
              <w:rPr>
                <w:rFonts w:ascii="Arial" w:hAnsi="Arial"/>
                <w:sz w:val="18"/>
                <w:szCs w:val="18"/>
              </w:rPr>
            </w:pPr>
            <w:r>
              <w:rPr>
                <w:rFonts w:ascii="Arial" w:hAnsi="Arial"/>
                <w:sz w:val="18"/>
                <w:szCs w:val="18"/>
              </w:rPr>
              <w:tab/>
              <w:t>Dynamic Optimization for Cooling Using Discrete Storage</w:t>
            </w:r>
          </w:p>
          <w:p w:rsidR="00AF6348" w:rsidRDefault="00AF6348" w:rsidP="00AF6348">
            <w:pPr>
              <w:ind w:left="479"/>
              <w:rPr>
                <w:rFonts w:ascii="Arial" w:hAnsi="Arial"/>
                <w:sz w:val="18"/>
                <w:szCs w:val="18"/>
              </w:rPr>
            </w:pPr>
            <w:r>
              <w:rPr>
                <w:rFonts w:ascii="Arial" w:hAnsi="Arial"/>
                <w:sz w:val="18"/>
                <w:szCs w:val="18"/>
              </w:rPr>
              <w:tab/>
              <w:t>Dynamic Optimization for Cooling Using Thermal Mass or Tabs</w:t>
            </w:r>
          </w:p>
          <w:p w:rsidR="00AF6348" w:rsidRDefault="00AF6348" w:rsidP="00AF6348">
            <w:pPr>
              <w:ind w:left="479"/>
              <w:rPr>
                <w:rFonts w:ascii="Arial" w:hAnsi="Arial"/>
                <w:sz w:val="18"/>
                <w:szCs w:val="18"/>
              </w:rPr>
            </w:pPr>
            <w:r>
              <w:rPr>
                <w:rFonts w:ascii="Arial" w:hAnsi="Arial"/>
                <w:sz w:val="18"/>
                <w:szCs w:val="18"/>
              </w:rPr>
              <w:tab/>
              <w:t>Forecasting Diurnal Cooling and Whole-Building Demand Profiles</w:t>
            </w:r>
          </w:p>
          <w:p w:rsidR="00AF6348" w:rsidRDefault="00AF6348" w:rsidP="007F1CD1">
            <w:pPr>
              <w:ind w:left="479"/>
              <w:rPr>
                <w:rFonts w:ascii="Arial" w:hAnsi="Arial"/>
              </w:rPr>
            </w:pPr>
            <w:r>
              <w:rPr>
                <w:rFonts w:ascii="Arial" w:hAnsi="Arial"/>
                <w:sz w:val="18"/>
                <w:szCs w:val="18"/>
              </w:rPr>
              <w:tab/>
              <w:t>Black-Box Predictive Cooling Control Strategies</w:t>
            </w:r>
          </w:p>
        </w:tc>
        <w:tc>
          <w:tcPr>
            <w:tcW w:w="3960" w:type="dxa"/>
          </w:tcPr>
          <w:p w:rsidR="007F1CD1" w:rsidRPr="00AF6348" w:rsidRDefault="007F1CD1" w:rsidP="007F1CD1">
            <w:pPr>
              <w:ind w:left="479"/>
              <w:rPr>
                <w:rFonts w:ascii="Arial" w:hAnsi="Arial"/>
                <w:sz w:val="18"/>
                <w:szCs w:val="18"/>
              </w:rPr>
            </w:pPr>
            <w:r>
              <w:rPr>
                <w:rFonts w:ascii="Arial" w:hAnsi="Arial"/>
                <w:sz w:val="18"/>
                <w:szCs w:val="18"/>
              </w:rPr>
              <w:t>Control Strategies for Heating Systems Control Strategies for Air-Handling Units Control Strategies for Building Zones</w:t>
            </w:r>
          </w:p>
          <w:p w:rsidR="007F1CD1" w:rsidRDefault="007F1CD1" w:rsidP="007F1CD1">
            <w:pPr>
              <w:ind w:left="479"/>
              <w:rPr>
                <w:rFonts w:ascii="Arial" w:hAnsi="Arial"/>
                <w:sz w:val="18"/>
                <w:szCs w:val="18"/>
              </w:rPr>
            </w:pPr>
          </w:p>
          <w:p w:rsidR="007F1CD1" w:rsidRDefault="007F1CD1" w:rsidP="007F1CD1">
            <w:pPr>
              <w:ind w:left="479"/>
              <w:rPr>
                <w:rFonts w:ascii="Arial" w:hAnsi="Arial"/>
                <w:sz w:val="18"/>
                <w:szCs w:val="18"/>
              </w:rPr>
            </w:pPr>
          </w:p>
          <w:p w:rsidR="00AF6348" w:rsidRDefault="00AF6348" w:rsidP="00627BA1">
            <w:pPr>
              <w:ind w:left="479"/>
              <w:rPr>
                <w:rFonts w:ascii="Arial" w:hAnsi="Arial"/>
              </w:rPr>
            </w:pPr>
          </w:p>
        </w:tc>
      </w:tr>
      <w:tr w:rsidR="00627BA1" w:rsidTr="00627BA1">
        <w:trPr>
          <w:trHeight w:val="144"/>
        </w:trPr>
        <w:tc>
          <w:tcPr>
            <w:tcW w:w="763" w:type="dxa"/>
          </w:tcPr>
          <w:p w:rsidR="00627BA1" w:rsidRDefault="00627BA1">
            <w:pPr>
              <w:rPr>
                <w:rFonts w:ascii="Arial" w:hAnsi="Arial"/>
              </w:rPr>
            </w:pPr>
          </w:p>
        </w:tc>
        <w:tc>
          <w:tcPr>
            <w:tcW w:w="10127" w:type="dxa"/>
            <w:gridSpan w:val="3"/>
          </w:tcPr>
          <w:p w:rsidR="00627BA1" w:rsidRPr="00BC2D95" w:rsidRDefault="00627BA1" w:rsidP="00627BA1">
            <w:pPr>
              <w:ind w:left="-61"/>
              <w:rPr>
                <w:rFonts w:ascii="Arial" w:hAnsi="Arial"/>
              </w:rPr>
            </w:pPr>
          </w:p>
        </w:tc>
      </w:tr>
      <w:tr w:rsidR="009700F9" w:rsidTr="00627BA1">
        <w:tc>
          <w:tcPr>
            <w:tcW w:w="763" w:type="dxa"/>
            <w:tcBorders>
              <w:bottom w:val="nil"/>
            </w:tcBorders>
          </w:tcPr>
          <w:p w:rsidR="009700F9" w:rsidRDefault="005024D5" w:rsidP="009700F9">
            <w:pPr>
              <w:rPr>
                <w:rFonts w:ascii="Arial" w:hAnsi="Arial"/>
              </w:rPr>
            </w:pPr>
            <w:r>
              <w:rPr>
                <w:rFonts w:ascii="Arial" w:hAnsi="Arial"/>
              </w:rPr>
              <w:t>5:30</w:t>
            </w:r>
          </w:p>
        </w:tc>
        <w:tc>
          <w:tcPr>
            <w:tcW w:w="10127" w:type="dxa"/>
            <w:gridSpan w:val="3"/>
            <w:tcBorders>
              <w:bottom w:val="nil"/>
            </w:tcBorders>
          </w:tcPr>
          <w:p w:rsidR="009700F9" w:rsidRDefault="009700F9" w:rsidP="009700F9">
            <w:pPr>
              <w:rPr>
                <w:rFonts w:ascii="Arial" w:hAnsi="Arial"/>
                <w:b/>
              </w:rPr>
            </w:pPr>
            <w:r>
              <w:rPr>
                <w:rFonts w:ascii="Arial" w:hAnsi="Arial"/>
                <w:b/>
              </w:rPr>
              <w:t xml:space="preserve">Adjourn </w:t>
            </w:r>
          </w:p>
        </w:tc>
      </w:tr>
      <w:tr w:rsidR="009700F9" w:rsidTr="00627BA1">
        <w:tc>
          <w:tcPr>
            <w:tcW w:w="10890" w:type="dxa"/>
            <w:gridSpan w:val="4"/>
            <w:tcBorders>
              <w:top w:val="single" w:sz="4" w:space="0" w:color="auto"/>
            </w:tcBorders>
          </w:tcPr>
          <w:p w:rsidR="009700F9" w:rsidRDefault="009700F9" w:rsidP="006059E3">
            <w:pPr>
              <w:rPr>
                <w:rFonts w:ascii="Arial" w:hAnsi="Arial"/>
                <w:b/>
              </w:rPr>
            </w:pPr>
          </w:p>
        </w:tc>
      </w:tr>
    </w:tbl>
    <w:p w:rsidR="006A1648" w:rsidRPr="00FD396C" w:rsidRDefault="004640F1" w:rsidP="00CB5EF8">
      <w:pPr>
        <w:rPr>
          <w:rFonts w:ascii="Arial" w:hAnsi="Arial"/>
          <w:b/>
        </w:rPr>
      </w:pPr>
      <w:r>
        <w:rPr>
          <w:rFonts w:ascii="Arial" w:hAnsi="Arial"/>
          <w:b/>
        </w:rPr>
        <w:t>Next Meeting:</w:t>
      </w:r>
      <w:r w:rsidR="007F1CD1">
        <w:rPr>
          <w:rFonts w:ascii="Arial" w:hAnsi="Arial"/>
          <w:b/>
        </w:rPr>
        <w:t xml:space="preserve"> </w:t>
      </w:r>
      <w:r w:rsidR="00EC7F49" w:rsidRPr="00460666">
        <w:rPr>
          <w:rFonts w:ascii="Arial" w:hAnsi="Arial"/>
          <w:b/>
          <w:bCs/>
        </w:rPr>
        <w:t xml:space="preserve">ASHRAE </w:t>
      </w:r>
      <w:r>
        <w:rPr>
          <w:rFonts w:ascii="Arial" w:hAnsi="Arial"/>
          <w:b/>
          <w:bCs/>
        </w:rPr>
        <w:t>Winter</w:t>
      </w:r>
      <w:r w:rsidR="00EC7F49" w:rsidRPr="00460666">
        <w:rPr>
          <w:rFonts w:ascii="Arial" w:hAnsi="Arial"/>
          <w:b/>
          <w:bCs/>
        </w:rPr>
        <w:t xml:space="preserve"> Conference</w:t>
      </w:r>
      <w:r w:rsidR="00EC7F49">
        <w:rPr>
          <w:rFonts w:ascii="Arial" w:hAnsi="Arial"/>
          <w:b/>
        </w:rPr>
        <w:t xml:space="preserve"> Sun</w:t>
      </w:r>
      <w:r w:rsidR="00460666">
        <w:rPr>
          <w:rFonts w:ascii="Arial" w:hAnsi="Arial"/>
          <w:b/>
        </w:rPr>
        <w:t>day</w:t>
      </w:r>
      <w:r w:rsidR="00EC7F49" w:rsidRPr="00EC7F49">
        <w:rPr>
          <w:rFonts w:ascii="Arial" w:hAnsi="Arial"/>
          <w:bCs/>
        </w:rPr>
        <w:t xml:space="preserve"> </w:t>
      </w:r>
      <w:r>
        <w:rPr>
          <w:rFonts w:ascii="Arial" w:hAnsi="Arial"/>
          <w:b/>
        </w:rPr>
        <w:t>January</w:t>
      </w:r>
      <w:r w:rsidR="00460666">
        <w:rPr>
          <w:rFonts w:ascii="Arial" w:hAnsi="Arial"/>
          <w:b/>
        </w:rPr>
        <w:t xml:space="preserve"> </w:t>
      </w:r>
      <w:r w:rsidR="00EC7F49" w:rsidRPr="00EC7F49">
        <w:rPr>
          <w:rFonts w:ascii="Arial" w:hAnsi="Arial"/>
          <w:b/>
        </w:rPr>
        <w:t>2</w:t>
      </w:r>
      <w:r>
        <w:rPr>
          <w:rFonts w:ascii="Arial" w:hAnsi="Arial"/>
          <w:b/>
        </w:rPr>
        <w:t>1</w:t>
      </w:r>
      <w:r w:rsidRPr="004640F1">
        <w:rPr>
          <w:rFonts w:ascii="Arial" w:hAnsi="Arial"/>
          <w:b/>
          <w:vertAlign w:val="superscript"/>
        </w:rPr>
        <w:t>st</w:t>
      </w:r>
      <w:r w:rsidR="00460666">
        <w:rPr>
          <w:rFonts w:ascii="Arial" w:hAnsi="Arial"/>
          <w:b/>
        </w:rPr>
        <w:t>,</w:t>
      </w:r>
      <w:r w:rsidR="00EC7F49" w:rsidRPr="00EC7F49">
        <w:rPr>
          <w:rFonts w:ascii="Arial" w:hAnsi="Arial"/>
          <w:b/>
        </w:rPr>
        <w:t xml:space="preserve"> </w:t>
      </w:r>
      <w:r>
        <w:rPr>
          <w:rFonts w:ascii="Arial" w:hAnsi="Arial"/>
          <w:b/>
        </w:rPr>
        <w:t>Palmer House Hilton, Chicago</w:t>
      </w:r>
      <w:r w:rsidR="00754A23">
        <w:rPr>
          <w:rFonts w:ascii="Arial" w:hAnsi="Arial"/>
          <w:b/>
        </w:rPr>
        <w:t xml:space="preserve">, </w:t>
      </w:r>
      <w:r>
        <w:rPr>
          <w:rFonts w:ascii="Arial" w:hAnsi="Arial"/>
          <w:b/>
        </w:rPr>
        <w:t>IL</w:t>
      </w:r>
    </w:p>
    <w:sectPr w:rsidR="006A1648" w:rsidRPr="00FD396C" w:rsidSect="00627BA1">
      <w:pgSz w:w="12240" w:h="15840" w:code="1"/>
      <w:pgMar w:top="720" w:right="1440" w:bottom="81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2CF7" w:rsidRDefault="00C82CF7">
      <w:r>
        <w:separator/>
      </w:r>
    </w:p>
  </w:endnote>
  <w:endnote w:type="continuationSeparator" w:id="0">
    <w:p w:rsidR="00C82CF7" w:rsidRDefault="00C82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2CF7" w:rsidRDefault="00C82CF7">
      <w:r>
        <w:separator/>
      </w:r>
    </w:p>
  </w:footnote>
  <w:footnote w:type="continuationSeparator" w:id="0">
    <w:p w:rsidR="00C82CF7" w:rsidRDefault="00C82C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6B60BC0"/>
    <w:lvl w:ilvl="0">
      <w:numFmt w:val="bullet"/>
      <w:lvlText w:val="*"/>
      <w:lvlJc w:val="left"/>
    </w:lvl>
  </w:abstractNum>
  <w:abstractNum w:abstractNumId="1" w15:restartNumberingAfterBreak="0">
    <w:nsid w:val="08F560AF"/>
    <w:multiLevelType w:val="hybridMultilevel"/>
    <w:tmpl w:val="C9C87C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C693EF7"/>
    <w:multiLevelType w:val="hybridMultilevel"/>
    <w:tmpl w:val="84A2C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B721D"/>
    <w:multiLevelType w:val="hybridMultilevel"/>
    <w:tmpl w:val="AE463D00"/>
    <w:lvl w:ilvl="0" w:tplc="04090001">
      <w:start w:val="1"/>
      <w:numFmt w:val="bullet"/>
      <w:lvlText w:val=""/>
      <w:lvlJc w:val="left"/>
      <w:pPr>
        <w:ind w:left="1194" w:hanging="360"/>
      </w:pPr>
      <w:rPr>
        <w:rFonts w:ascii="Symbol" w:hAnsi="Symbol" w:hint="default"/>
      </w:rPr>
    </w:lvl>
    <w:lvl w:ilvl="1" w:tplc="04090003">
      <w:start w:val="1"/>
      <w:numFmt w:val="bullet"/>
      <w:lvlText w:val="o"/>
      <w:lvlJc w:val="left"/>
      <w:pPr>
        <w:ind w:left="1914" w:hanging="360"/>
      </w:pPr>
      <w:rPr>
        <w:rFonts w:ascii="Courier New" w:hAnsi="Courier New" w:cs="Courier New" w:hint="default"/>
      </w:rPr>
    </w:lvl>
    <w:lvl w:ilvl="2" w:tplc="04090005" w:tentative="1">
      <w:start w:val="1"/>
      <w:numFmt w:val="bullet"/>
      <w:lvlText w:val=""/>
      <w:lvlJc w:val="left"/>
      <w:pPr>
        <w:ind w:left="2634" w:hanging="360"/>
      </w:pPr>
      <w:rPr>
        <w:rFonts w:ascii="Wingdings" w:hAnsi="Wingdings" w:hint="default"/>
      </w:rPr>
    </w:lvl>
    <w:lvl w:ilvl="3" w:tplc="04090001" w:tentative="1">
      <w:start w:val="1"/>
      <w:numFmt w:val="bullet"/>
      <w:lvlText w:val=""/>
      <w:lvlJc w:val="left"/>
      <w:pPr>
        <w:ind w:left="3354" w:hanging="360"/>
      </w:pPr>
      <w:rPr>
        <w:rFonts w:ascii="Symbol" w:hAnsi="Symbol" w:hint="default"/>
      </w:rPr>
    </w:lvl>
    <w:lvl w:ilvl="4" w:tplc="04090003" w:tentative="1">
      <w:start w:val="1"/>
      <w:numFmt w:val="bullet"/>
      <w:lvlText w:val="o"/>
      <w:lvlJc w:val="left"/>
      <w:pPr>
        <w:ind w:left="4074" w:hanging="360"/>
      </w:pPr>
      <w:rPr>
        <w:rFonts w:ascii="Courier New" w:hAnsi="Courier New" w:cs="Courier New" w:hint="default"/>
      </w:rPr>
    </w:lvl>
    <w:lvl w:ilvl="5" w:tplc="04090005" w:tentative="1">
      <w:start w:val="1"/>
      <w:numFmt w:val="bullet"/>
      <w:lvlText w:val=""/>
      <w:lvlJc w:val="left"/>
      <w:pPr>
        <w:ind w:left="4794" w:hanging="360"/>
      </w:pPr>
      <w:rPr>
        <w:rFonts w:ascii="Wingdings" w:hAnsi="Wingdings" w:hint="default"/>
      </w:rPr>
    </w:lvl>
    <w:lvl w:ilvl="6" w:tplc="04090001" w:tentative="1">
      <w:start w:val="1"/>
      <w:numFmt w:val="bullet"/>
      <w:lvlText w:val=""/>
      <w:lvlJc w:val="left"/>
      <w:pPr>
        <w:ind w:left="5514" w:hanging="360"/>
      </w:pPr>
      <w:rPr>
        <w:rFonts w:ascii="Symbol" w:hAnsi="Symbol" w:hint="default"/>
      </w:rPr>
    </w:lvl>
    <w:lvl w:ilvl="7" w:tplc="04090003" w:tentative="1">
      <w:start w:val="1"/>
      <w:numFmt w:val="bullet"/>
      <w:lvlText w:val="o"/>
      <w:lvlJc w:val="left"/>
      <w:pPr>
        <w:ind w:left="6234" w:hanging="360"/>
      </w:pPr>
      <w:rPr>
        <w:rFonts w:ascii="Courier New" w:hAnsi="Courier New" w:cs="Courier New" w:hint="default"/>
      </w:rPr>
    </w:lvl>
    <w:lvl w:ilvl="8" w:tplc="04090005" w:tentative="1">
      <w:start w:val="1"/>
      <w:numFmt w:val="bullet"/>
      <w:lvlText w:val=""/>
      <w:lvlJc w:val="left"/>
      <w:pPr>
        <w:ind w:left="6954" w:hanging="360"/>
      </w:pPr>
      <w:rPr>
        <w:rFonts w:ascii="Wingdings" w:hAnsi="Wingdings" w:hint="default"/>
      </w:rPr>
    </w:lvl>
  </w:abstractNum>
  <w:abstractNum w:abstractNumId="4" w15:restartNumberingAfterBreak="0">
    <w:nsid w:val="1249380E"/>
    <w:multiLevelType w:val="hybridMultilevel"/>
    <w:tmpl w:val="7936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321612"/>
    <w:multiLevelType w:val="hybridMultilevel"/>
    <w:tmpl w:val="B9C438B2"/>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6" w15:restartNumberingAfterBreak="0">
    <w:nsid w:val="273F4DF0"/>
    <w:multiLevelType w:val="hybridMultilevel"/>
    <w:tmpl w:val="81E6DA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E960E54"/>
    <w:multiLevelType w:val="hybridMultilevel"/>
    <w:tmpl w:val="A418AE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61E67C1"/>
    <w:multiLevelType w:val="hybridMultilevel"/>
    <w:tmpl w:val="5EEE32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34041FB"/>
    <w:multiLevelType w:val="hybridMultilevel"/>
    <w:tmpl w:val="332EF2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2">
    <w:abstractNumId w:val="7"/>
  </w:num>
  <w:num w:numId="3">
    <w:abstractNumId w:val="9"/>
  </w:num>
  <w:num w:numId="4">
    <w:abstractNumId w:val="4"/>
  </w:num>
  <w:num w:numId="5">
    <w:abstractNumId w:val="2"/>
  </w:num>
  <w:num w:numId="6">
    <w:abstractNumId w:val="6"/>
  </w:num>
  <w:num w:numId="7">
    <w:abstractNumId w:val="5"/>
  </w:num>
  <w:num w:numId="8">
    <w:abstractNumId w:val="3"/>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CC2"/>
    <w:rsid w:val="00047143"/>
    <w:rsid w:val="000569A3"/>
    <w:rsid w:val="00060A71"/>
    <w:rsid w:val="000637F6"/>
    <w:rsid w:val="00064B91"/>
    <w:rsid w:val="000733B7"/>
    <w:rsid w:val="000A23D4"/>
    <w:rsid w:val="000B066F"/>
    <w:rsid w:val="000B25B6"/>
    <w:rsid w:val="00131E57"/>
    <w:rsid w:val="00142008"/>
    <w:rsid w:val="00146D6D"/>
    <w:rsid w:val="00175782"/>
    <w:rsid w:val="00187DAD"/>
    <w:rsid w:val="001C464C"/>
    <w:rsid w:val="001C675D"/>
    <w:rsid w:val="001D2B55"/>
    <w:rsid w:val="001F1ED7"/>
    <w:rsid w:val="0020170E"/>
    <w:rsid w:val="00223A3B"/>
    <w:rsid w:val="002A40A3"/>
    <w:rsid w:val="002C19AC"/>
    <w:rsid w:val="002E0CC2"/>
    <w:rsid w:val="00314ECE"/>
    <w:rsid w:val="00353950"/>
    <w:rsid w:val="00353E59"/>
    <w:rsid w:val="00365F24"/>
    <w:rsid w:val="00371FFA"/>
    <w:rsid w:val="003F42F7"/>
    <w:rsid w:val="00420722"/>
    <w:rsid w:val="0044297C"/>
    <w:rsid w:val="00460666"/>
    <w:rsid w:val="004640F1"/>
    <w:rsid w:val="00467FDF"/>
    <w:rsid w:val="00486F03"/>
    <w:rsid w:val="00490882"/>
    <w:rsid w:val="00496AA8"/>
    <w:rsid w:val="004A5C6F"/>
    <w:rsid w:val="004C10AF"/>
    <w:rsid w:val="004E60C7"/>
    <w:rsid w:val="004F4507"/>
    <w:rsid w:val="005024D5"/>
    <w:rsid w:val="00502C84"/>
    <w:rsid w:val="00534872"/>
    <w:rsid w:val="00542CCA"/>
    <w:rsid w:val="00547530"/>
    <w:rsid w:val="005539EB"/>
    <w:rsid w:val="00553A62"/>
    <w:rsid w:val="0055541C"/>
    <w:rsid w:val="005724A4"/>
    <w:rsid w:val="00585CCA"/>
    <w:rsid w:val="005B79FA"/>
    <w:rsid w:val="005E179D"/>
    <w:rsid w:val="006059E3"/>
    <w:rsid w:val="00627BA1"/>
    <w:rsid w:val="006649D3"/>
    <w:rsid w:val="006675D0"/>
    <w:rsid w:val="006704C4"/>
    <w:rsid w:val="00681C2D"/>
    <w:rsid w:val="006A1648"/>
    <w:rsid w:val="006D0021"/>
    <w:rsid w:val="006E04B0"/>
    <w:rsid w:val="006E0C55"/>
    <w:rsid w:val="006F29A0"/>
    <w:rsid w:val="00712E8A"/>
    <w:rsid w:val="00725B6D"/>
    <w:rsid w:val="00725E1D"/>
    <w:rsid w:val="0074593E"/>
    <w:rsid w:val="00754A23"/>
    <w:rsid w:val="00762F8A"/>
    <w:rsid w:val="0077457D"/>
    <w:rsid w:val="007927D8"/>
    <w:rsid w:val="007C27D3"/>
    <w:rsid w:val="007C4FE8"/>
    <w:rsid w:val="007D11CE"/>
    <w:rsid w:val="007D33F9"/>
    <w:rsid w:val="007D5155"/>
    <w:rsid w:val="007E2318"/>
    <w:rsid w:val="007E2C9B"/>
    <w:rsid w:val="007E6CA5"/>
    <w:rsid w:val="007E7E9B"/>
    <w:rsid w:val="007F1CD1"/>
    <w:rsid w:val="007F4C4E"/>
    <w:rsid w:val="00830723"/>
    <w:rsid w:val="008310DB"/>
    <w:rsid w:val="00877C22"/>
    <w:rsid w:val="008C10FC"/>
    <w:rsid w:val="008D20E7"/>
    <w:rsid w:val="008F0340"/>
    <w:rsid w:val="009623C9"/>
    <w:rsid w:val="009700F9"/>
    <w:rsid w:val="0097531E"/>
    <w:rsid w:val="009759AB"/>
    <w:rsid w:val="00981775"/>
    <w:rsid w:val="009D16F6"/>
    <w:rsid w:val="009E6765"/>
    <w:rsid w:val="009F3B42"/>
    <w:rsid w:val="00A56A7B"/>
    <w:rsid w:val="00A6572D"/>
    <w:rsid w:val="00A72D54"/>
    <w:rsid w:val="00A75A69"/>
    <w:rsid w:val="00A82AB7"/>
    <w:rsid w:val="00A942C8"/>
    <w:rsid w:val="00AA1111"/>
    <w:rsid w:val="00AE2667"/>
    <w:rsid w:val="00AE3FCE"/>
    <w:rsid w:val="00AF0646"/>
    <w:rsid w:val="00AF6348"/>
    <w:rsid w:val="00B030DB"/>
    <w:rsid w:val="00B10CE0"/>
    <w:rsid w:val="00B607A9"/>
    <w:rsid w:val="00B8122B"/>
    <w:rsid w:val="00B8485A"/>
    <w:rsid w:val="00B950EA"/>
    <w:rsid w:val="00BB69FF"/>
    <w:rsid w:val="00BC2D95"/>
    <w:rsid w:val="00BD3E40"/>
    <w:rsid w:val="00BD756F"/>
    <w:rsid w:val="00BF100B"/>
    <w:rsid w:val="00BF755E"/>
    <w:rsid w:val="00C245B9"/>
    <w:rsid w:val="00C43FAF"/>
    <w:rsid w:val="00C522F7"/>
    <w:rsid w:val="00C76046"/>
    <w:rsid w:val="00C82CF7"/>
    <w:rsid w:val="00C96D10"/>
    <w:rsid w:val="00CA0EFD"/>
    <w:rsid w:val="00CB5EF8"/>
    <w:rsid w:val="00CD0017"/>
    <w:rsid w:val="00D41DF0"/>
    <w:rsid w:val="00D47CF4"/>
    <w:rsid w:val="00D60F17"/>
    <w:rsid w:val="00DA18AC"/>
    <w:rsid w:val="00DA6CC0"/>
    <w:rsid w:val="00DF23B5"/>
    <w:rsid w:val="00E027F5"/>
    <w:rsid w:val="00E1600B"/>
    <w:rsid w:val="00E34623"/>
    <w:rsid w:val="00E75553"/>
    <w:rsid w:val="00EC7F49"/>
    <w:rsid w:val="00F2307A"/>
    <w:rsid w:val="00F24F4B"/>
    <w:rsid w:val="00F56E02"/>
    <w:rsid w:val="00F7146F"/>
    <w:rsid w:val="00F77604"/>
    <w:rsid w:val="00F852F4"/>
    <w:rsid w:val="00F91151"/>
    <w:rsid w:val="00FD396C"/>
    <w:rsid w:val="00FD7B12"/>
    <w:rsid w:val="00FF2268"/>
    <w:rsid w:val="00FF3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B03FC5-B005-48AA-A411-C2DC10DA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46F"/>
    <w:pPr>
      <w:overflowPunct w:val="0"/>
      <w:autoSpaceDE w:val="0"/>
      <w:autoSpaceDN w:val="0"/>
      <w:adjustRightInd w:val="0"/>
      <w:textAlignment w:val="baseline"/>
    </w:pPr>
    <w:rPr>
      <w:rFonts w:ascii="Times New Roman" w:eastAsia="Times New Roman" w:hAnsi="Times New Roman"/>
    </w:rPr>
  </w:style>
  <w:style w:type="paragraph" w:styleId="Heading4">
    <w:name w:val="heading 4"/>
    <w:basedOn w:val="Normal"/>
    <w:next w:val="Normal"/>
    <w:qFormat/>
    <w:rsid w:val="00F7146F"/>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
    <w:name w:val="Char Char"/>
    <w:basedOn w:val="DefaultParagraphFont"/>
    <w:rsid w:val="00F7146F"/>
    <w:rPr>
      <w:rFonts w:ascii="Times New Roman" w:eastAsia="Times New Roman" w:hAnsi="Times New Roman" w:cs="Times New Roman"/>
      <w:b/>
      <w:sz w:val="24"/>
      <w:szCs w:val="20"/>
    </w:rPr>
  </w:style>
  <w:style w:type="paragraph" w:styleId="DocumentMap">
    <w:name w:val="Document Map"/>
    <w:basedOn w:val="Normal"/>
    <w:link w:val="DocumentMapChar"/>
    <w:rsid w:val="00B607A9"/>
    <w:rPr>
      <w:rFonts w:ascii="Tahoma" w:hAnsi="Tahoma" w:cs="Tahoma"/>
      <w:sz w:val="16"/>
      <w:szCs w:val="16"/>
    </w:rPr>
  </w:style>
  <w:style w:type="character" w:customStyle="1" w:styleId="DocumentMapChar">
    <w:name w:val="Document Map Char"/>
    <w:basedOn w:val="DefaultParagraphFont"/>
    <w:link w:val="DocumentMap"/>
    <w:rsid w:val="00B607A9"/>
    <w:rPr>
      <w:rFonts w:ascii="Tahoma" w:eastAsia="Times New Roman" w:hAnsi="Tahoma" w:cs="Tahoma"/>
      <w:sz w:val="16"/>
      <w:szCs w:val="16"/>
    </w:rPr>
  </w:style>
  <w:style w:type="character" w:styleId="CommentReference">
    <w:name w:val="annotation reference"/>
    <w:basedOn w:val="DefaultParagraphFont"/>
    <w:rsid w:val="00CD0017"/>
    <w:rPr>
      <w:sz w:val="16"/>
      <w:szCs w:val="16"/>
    </w:rPr>
  </w:style>
  <w:style w:type="paragraph" w:styleId="CommentText">
    <w:name w:val="annotation text"/>
    <w:basedOn w:val="Normal"/>
    <w:link w:val="CommentTextChar"/>
    <w:rsid w:val="00CD0017"/>
  </w:style>
  <w:style w:type="character" w:customStyle="1" w:styleId="CommentTextChar">
    <w:name w:val="Comment Text Char"/>
    <w:basedOn w:val="DefaultParagraphFont"/>
    <w:link w:val="CommentText"/>
    <w:rsid w:val="00CD0017"/>
    <w:rPr>
      <w:rFonts w:ascii="Times New Roman" w:eastAsia="Times New Roman" w:hAnsi="Times New Roman"/>
    </w:rPr>
  </w:style>
  <w:style w:type="paragraph" w:styleId="CommentSubject">
    <w:name w:val="annotation subject"/>
    <w:basedOn w:val="CommentText"/>
    <w:next w:val="CommentText"/>
    <w:link w:val="CommentSubjectChar"/>
    <w:rsid w:val="00CD0017"/>
    <w:rPr>
      <w:b/>
      <w:bCs/>
    </w:rPr>
  </w:style>
  <w:style w:type="character" w:customStyle="1" w:styleId="CommentSubjectChar">
    <w:name w:val="Comment Subject Char"/>
    <w:basedOn w:val="CommentTextChar"/>
    <w:link w:val="CommentSubject"/>
    <w:rsid w:val="00CD0017"/>
    <w:rPr>
      <w:rFonts w:ascii="Times New Roman" w:eastAsia="Times New Roman" w:hAnsi="Times New Roman"/>
      <w:b/>
      <w:bCs/>
    </w:rPr>
  </w:style>
  <w:style w:type="paragraph" w:styleId="BalloonText">
    <w:name w:val="Balloon Text"/>
    <w:basedOn w:val="Normal"/>
    <w:link w:val="BalloonTextChar"/>
    <w:rsid w:val="00CD0017"/>
    <w:rPr>
      <w:rFonts w:ascii="Tahoma" w:hAnsi="Tahoma" w:cs="Tahoma"/>
      <w:sz w:val="16"/>
      <w:szCs w:val="16"/>
    </w:rPr>
  </w:style>
  <w:style w:type="character" w:customStyle="1" w:styleId="BalloonTextChar">
    <w:name w:val="Balloon Text Char"/>
    <w:basedOn w:val="DefaultParagraphFont"/>
    <w:link w:val="BalloonText"/>
    <w:rsid w:val="00CD0017"/>
    <w:rPr>
      <w:rFonts w:ascii="Tahoma" w:eastAsia="Times New Roman" w:hAnsi="Tahoma" w:cs="Tahoma"/>
      <w:sz w:val="16"/>
      <w:szCs w:val="16"/>
    </w:rPr>
  </w:style>
  <w:style w:type="paragraph" w:styleId="ListParagraph">
    <w:name w:val="List Paragraph"/>
    <w:basedOn w:val="Normal"/>
    <w:uiPriority w:val="34"/>
    <w:qFormat/>
    <w:rsid w:val="00490882"/>
    <w:pPr>
      <w:ind w:left="720"/>
      <w:contextualSpacing/>
    </w:pPr>
  </w:style>
  <w:style w:type="paragraph" w:customStyle="1" w:styleId="p1">
    <w:name w:val="p1"/>
    <w:basedOn w:val="Normal"/>
    <w:rsid w:val="006059E3"/>
    <w:pPr>
      <w:overflowPunct/>
      <w:autoSpaceDE/>
      <w:autoSpaceDN/>
      <w:adjustRightInd/>
      <w:spacing w:before="100" w:beforeAutospacing="1" w:after="100" w:afterAutospacing="1"/>
      <w:textAlignment w:val="auto"/>
    </w:pPr>
    <w:rPr>
      <w:sz w:val="24"/>
      <w:szCs w:val="24"/>
    </w:rPr>
  </w:style>
  <w:style w:type="character" w:styleId="Strong">
    <w:name w:val="Strong"/>
    <w:basedOn w:val="DefaultParagraphFont"/>
    <w:uiPriority w:val="22"/>
    <w:qFormat/>
    <w:rsid w:val="00EC7F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DA7D98-F7EF-4787-B0B2-7DC36E74D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Pages>
  <Words>487</Words>
  <Characters>2781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AGENDA</vt:lpstr>
    </vt:vector>
  </TitlesOfParts>
  <Company>EERE/DOE</Company>
  <LinksUpToDate>false</LinksUpToDate>
  <CharactersWithSpaces>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creator>Drury Crawley</dc:creator>
  <cp:lastModifiedBy>Vern</cp:lastModifiedBy>
  <cp:revision>9</cp:revision>
  <cp:lastPrinted>2013-01-27T16:29:00Z</cp:lastPrinted>
  <dcterms:created xsi:type="dcterms:W3CDTF">2016-01-19T03:06:00Z</dcterms:created>
  <dcterms:modified xsi:type="dcterms:W3CDTF">2017-05-25T15:13:00Z</dcterms:modified>
</cp:coreProperties>
</file>