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6" w:type="dxa"/>
        <w:tblInd w:w="1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7861"/>
      </w:tblGrid>
      <w:tr w:rsidR="00C07907" w14:paraId="39F5A384" w14:textId="77777777" w:rsidTr="00B960E0">
        <w:trPr>
          <w:trHeight w:val="433"/>
        </w:trPr>
        <w:tc>
          <w:tcPr>
            <w:tcW w:w="1575" w:type="dxa"/>
            <w:vMerge w:val="restart"/>
            <w:tcBorders>
              <w:top w:val="nil"/>
            </w:tcBorders>
          </w:tcPr>
          <w:p w14:paraId="51C8678D" w14:textId="77777777" w:rsidR="00C07907" w:rsidRDefault="00C07907" w:rsidP="00B960E0">
            <w:pPr>
              <w:rPr>
                <w:rFonts w:ascii="Arial" w:hAnsi="Arial"/>
              </w:rPr>
            </w:pPr>
            <w:r w:rsidRPr="00E3346A">
              <w:rPr>
                <w:rFonts w:ascii="Arial" w:hAnsi="Arial"/>
                <w:noProof/>
              </w:rPr>
              <w:drawing>
                <wp:inline distT="0" distB="0" distL="0" distR="0" wp14:anchorId="11B78DFC" wp14:editId="1CEDEC0C">
                  <wp:extent cx="679450" cy="466289"/>
                  <wp:effectExtent l="0" t="0" r="6350" b="0"/>
                  <wp:docPr id="1" name="Picture 1" descr="logo_ashr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shr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36" cy="46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tcBorders>
              <w:top w:val="nil"/>
            </w:tcBorders>
          </w:tcPr>
          <w:p w14:paraId="103964A4" w14:textId="546B2656" w:rsidR="00C07907" w:rsidRDefault="00C07907" w:rsidP="00B960E0">
            <w:pPr>
              <w:ind w:left="-183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DRAFT Agenda</w:t>
            </w:r>
          </w:p>
          <w:p w14:paraId="04D6A7F2" w14:textId="56C71EF9" w:rsidR="00C07907" w:rsidRDefault="00780089" w:rsidP="00B960E0">
            <w:pPr>
              <w:ind w:left="-1830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</w:tr>
      <w:tr w:rsidR="00C07907" w14:paraId="2CEC6654" w14:textId="77777777" w:rsidTr="00B960E0">
        <w:trPr>
          <w:trHeight w:val="791"/>
        </w:trPr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1F8EC610" w14:textId="77777777" w:rsidR="00C07907" w:rsidRDefault="00C07907" w:rsidP="00B960E0">
            <w:pPr>
              <w:rPr>
                <w:rFonts w:ascii="Arial" w:hAnsi="Arial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435115C0" w14:textId="2A78B94D" w:rsidR="00C07907" w:rsidRPr="00B470FE" w:rsidRDefault="00BE04AE" w:rsidP="00B960E0">
            <w:pPr>
              <w:pStyle w:val="Heading4"/>
              <w:ind w:left="-183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1E3756">
              <w:rPr>
                <w:rFonts w:ascii="Arial" w:hAnsi="Arial"/>
              </w:rPr>
              <w:t xml:space="preserve">TC </w:t>
            </w:r>
            <w:r>
              <w:rPr>
                <w:rFonts w:ascii="Arial" w:hAnsi="Arial"/>
              </w:rPr>
              <w:t>2.10</w:t>
            </w:r>
            <w:r w:rsidR="002C791B">
              <w:rPr>
                <w:rFonts w:ascii="Arial" w:hAnsi="Arial"/>
              </w:rPr>
              <w:t xml:space="preserve"> Main</w:t>
            </w:r>
            <w:r w:rsidR="00B150D7">
              <w:rPr>
                <w:rFonts w:ascii="Arial" w:hAnsi="Arial"/>
              </w:rPr>
              <w:t xml:space="preserve"> </w:t>
            </w:r>
            <w:r w:rsidR="00107D17">
              <w:rPr>
                <w:rFonts w:ascii="Arial" w:hAnsi="Arial"/>
              </w:rPr>
              <w:t xml:space="preserve">Winter 2023 </w:t>
            </w:r>
            <w:r w:rsidR="00B150D7">
              <w:rPr>
                <w:rFonts w:ascii="Arial" w:hAnsi="Arial"/>
              </w:rPr>
              <w:t>Meeting</w:t>
            </w:r>
            <w:r w:rsidR="002C791B">
              <w:rPr>
                <w:rFonts w:ascii="Arial" w:hAnsi="Arial"/>
              </w:rPr>
              <w:t xml:space="preserve"> in </w:t>
            </w:r>
            <w:r w:rsidR="0047757A">
              <w:rPr>
                <w:rFonts w:ascii="Arial" w:hAnsi="Arial"/>
              </w:rPr>
              <w:t>Atlanta</w:t>
            </w:r>
            <w:r w:rsidR="002C791B">
              <w:rPr>
                <w:rFonts w:ascii="Arial" w:hAnsi="Arial"/>
              </w:rPr>
              <w:t xml:space="preserve">, </w:t>
            </w:r>
            <w:r w:rsidR="0047757A">
              <w:rPr>
                <w:rFonts w:ascii="Arial" w:hAnsi="Arial"/>
              </w:rPr>
              <w:t>GA</w:t>
            </w:r>
          </w:p>
          <w:p w14:paraId="41973796" w14:textId="6DC2C66C" w:rsidR="0074494A" w:rsidRDefault="008A3EF9" w:rsidP="0074494A">
            <w:pPr>
              <w:ind w:left="-1830"/>
              <w:jc w:val="center"/>
              <w:rPr>
                <w:rFonts w:ascii="Arial" w:hAnsi="Arial"/>
              </w:rPr>
            </w:pPr>
            <w:r w:rsidRPr="009F744A">
              <w:rPr>
                <w:rFonts w:ascii="Arial" w:hAnsi="Arial"/>
              </w:rPr>
              <w:t>T</w:t>
            </w:r>
            <w:r w:rsidR="00857B8E" w:rsidRPr="009F744A">
              <w:rPr>
                <w:rFonts w:ascii="Arial" w:hAnsi="Arial"/>
              </w:rPr>
              <w:t>uesday</w:t>
            </w:r>
            <w:r w:rsidR="00A6707C" w:rsidRPr="009F744A">
              <w:rPr>
                <w:rFonts w:ascii="Arial" w:hAnsi="Arial"/>
              </w:rPr>
              <w:t xml:space="preserve">, </w:t>
            </w:r>
            <w:r w:rsidR="0047757A">
              <w:rPr>
                <w:rFonts w:ascii="Arial" w:hAnsi="Arial"/>
              </w:rPr>
              <w:t>Feb</w:t>
            </w:r>
            <w:r w:rsidR="007E76E6" w:rsidRPr="009F744A">
              <w:rPr>
                <w:rFonts w:ascii="Arial" w:hAnsi="Arial"/>
              </w:rPr>
              <w:t xml:space="preserve"> </w:t>
            </w:r>
            <w:r w:rsidR="0047757A">
              <w:rPr>
                <w:rFonts w:ascii="Arial" w:hAnsi="Arial"/>
              </w:rPr>
              <w:t>7</w:t>
            </w:r>
            <w:r w:rsidR="007E76E6" w:rsidRPr="009F744A">
              <w:rPr>
                <w:rFonts w:ascii="Arial" w:hAnsi="Arial"/>
              </w:rPr>
              <w:t>, 202</w:t>
            </w:r>
            <w:r w:rsidR="0047757A">
              <w:rPr>
                <w:rFonts w:ascii="Arial" w:hAnsi="Arial"/>
              </w:rPr>
              <w:t>3</w:t>
            </w:r>
            <w:r w:rsidR="00742881">
              <w:rPr>
                <w:rFonts w:ascii="Arial" w:hAnsi="Arial"/>
              </w:rPr>
              <w:t xml:space="preserve">, </w:t>
            </w:r>
            <w:r w:rsidR="004A74F6">
              <w:rPr>
                <w:rFonts w:ascii="Arial" w:hAnsi="Arial"/>
              </w:rPr>
              <w:t>3:30</w:t>
            </w:r>
            <w:r w:rsidR="00742881">
              <w:rPr>
                <w:rFonts w:ascii="Arial" w:hAnsi="Arial"/>
              </w:rPr>
              <w:t xml:space="preserve">pm to </w:t>
            </w:r>
            <w:r w:rsidR="004A74F6">
              <w:rPr>
                <w:rFonts w:ascii="Arial" w:hAnsi="Arial"/>
              </w:rPr>
              <w:t>6</w:t>
            </w:r>
            <w:r w:rsidR="00742881">
              <w:rPr>
                <w:rFonts w:ascii="Arial" w:hAnsi="Arial"/>
              </w:rPr>
              <w:t>pm ET</w:t>
            </w:r>
          </w:p>
          <w:p w14:paraId="18AA1258" w14:textId="2C27B287" w:rsidR="006B7E56" w:rsidRPr="009F744A" w:rsidRDefault="006B7E56" w:rsidP="0074494A">
            <w:pPr>
              <w:ind w:left="-1830"/>
              <w:jc w:val="center"/>
              <w:rPr>
                <w:rFonts w:ascii="Arial" w:hAnsi="Arial"/>
              </w:rPr>
            </w:pPr>
            <w:r w:rsidRPr="006B7E56">
              <w:rPr>
                <w:rFonts w:ascii="Arial" w:hAnsi="Arial"/>
              </w:rPr>
              <w:t xml:space="preserve">Location / Room: </w:t>
            </w:r>
            <w:r w:rsidR="00107D17">
              <w:rPr>
                <w:rFonts w:ascii="Arial" w:hAnsi="Arial"/>
              </w:rPr>
              <w:t>TBD</w:t>
            </w:r>
            <w:r w:rsidRPr="006B7E56">
              <w:rPr>
                <w:rFonts w:ascii="Arial" w:hAnsi="Arial"/>
              </w:rPr>
              <w:t>, T</w:t>
            </w:r>
            <w:r w:rsidR="00107D17">
              <w:rPr>
                <w:rFonts w:ascii="Arial" w:hAnsi="Arial"/>
              </w:rPr>
              <w:t>BD</w:t>
            </w:r>
          </w:p>
          <w:p w14:paraId="6AFAA72D" w14:textId="10737ECB" w:rsidR="00C07907" w:rsidRDefault="00C07907" w:rsidP="0074494A">
            <w:pPr>
              <w:ind w:left="-1830"/>
              <w:jc w:val="center"/>
              <w:rPr>
                <w:rFonts w:ascii="Arial" w:hAnsi="Arial"/>
              </w:rPr>
            </w:pPr>
            <w:r w:rsidRPr="006B7E56">
              <w:rPr>
                <w:rFonts w:ascii="Arial" w:hAnsi="Arial"/>
              </w:rPr>
              <w:t xml:space="preserve">Prepared by </w:t>
            </w:r>
            <w:r w:rsidR="00BE04AE" w:rsidRPr="006B7E56">
              <w:rPr>
                <w:rFonts w:ascii="Arial" w:hAnsi="Arial"/>
              </w:rPr>
              <w:t>Carol Lomonaco</w:t>
            </w:r>
            <w:r w:rsidR="001D5DD5">
              <w:rPr>
                <w:rFonts w:ascii="Arial" w:hAnsi="Arial"/>
              </w:rPr>
              <w:t xml:space="preserve"> for Anthony York (Chair)</w:t>
            </w:r>
          </w:p>
        </w:tc>
      </w:tr>
    </w:tbl>
    <w:p w14:paraId="28C6CCC0" w14:textId="14BC62F7" w:rsidR="00535B24" w:rsidRDefault="001A73ED" w:rsidP="00653E39">
      <w:pPr>
        <w:ind w:left="540"/>
      </w:pPr>
      <w:r>
        <w:t xml:space="preserve">Main TC </w:t>
      </w:r>
      <w:r w:rsidR="00857B8E">
        <w:t>2022</w:t>
      </w:r>
      <w:r w:rsidR="001D5DD5">
        <w:t>3</w:t>
      </w:r>
      <w:r>
        <w:t>ASHRAE</w:t>
      </w:r>
      <w:r w:rsidR="00107D17">
        <w:t xml:space="preserve"> Winter </w:t>
      </w:r>
      <w:r w:rsidR="00B63623">
        <w:t xml:space="preserve">Hybrid </w:t>
      </w:r>
      <w:r w:rsidR="0025605B">
        <w:t>WebEx</w:t>
      </w:r>
      <w:r w:rsidR="00B63623">
        <w:t xml:space="preserve"> </w:t>
      </w:r>
      <w:r>
        <w:t>Meeting</w:t>
      </w:r>
      <w:r w:rsidR="003468EB">
        <w:t xml:space="preserve"> – all times in </w:t>
      </w:r>
      <w:proofErr w:type="spellStart"/>
      <w:r w:rsidR="008A3EF9">
        <w:t>Eastern</w:t>
      </w:r>
      <w:r w:rsidR="003468EB">
        <w:t>Time</w:t>
      </w:r>
      <w:proofErr w:type="spellEnd"/>
      <w:r w:rsidR="003468EB">
        <w:t xml:space="preserve"> (</w:t>
      </w:r>
      <w:r w:rsidR="008A3EF9">
        <w:t>E</w:t>
      </w:r>
      <w:r w:rsidR="003468EB">
        <w:t>T)</w:t>
      </w:r>
    </w:p>
    <w:p w14:paraId="0C4BBAFC" w14:textId="52DF78D9" w:rsidR="001A73ED" w:rsidRDefault="001A73ED" w:rsidP="00653E39">
      <w:pPr>
        <w:ind w:left="540"/>
      </w:pPr>
    </w:p>
    <w:p w14:paraId="615C59E9" w14:textId="43698086" w:rsidR="00DA2117" w:rsidRDefault="0021351E" w:rsidP="00DA2117">
      <w:pPr>
        <w:ind w:right="-630"/>
        <w:jc w:val="center"/>
        <w:rPr>
          <w:rFonts w:ascii="Arial" w:hAnsi="Arial" w:cs="Arial"/>
        </w:rPr>
      </w:pPr>
      <w:r>
        <w:br/>
      </w:r>
    </w:p>
    <w:p w14:paraId="5C7DCE33" w14:textId="3F373688" w:rsidR="00DA2117" w:rsidRPr="00DA2117" w:rsidRDefault="00DA2117" w:rsidP="00DA2117">
      <w:pPr>
        <w:ind w:right="-630"/>
        <w:jc w:val="center"/>
        <w:rPr>
          <w:rFonts w:ascii="Arial" w:hAnsi="Arial" w:cs="Arial"/>
        </w:rPr>
      </w:pPr>
      <w:r>
        <w:rPr>
          <w:rFonts w:ascii="Arial" w:hAnsi="Arial" w:cs="Arial"/>
        </w:rPr>
        <w:t>Schedule for TC 2.10</w:t>
      </w:r>
      <w:r w:rsidR="00535B24">
        <w:rPr>
          <w:rFonts w:ascii="Arial" w:hAnsi="Arial" w:cs="Arial"/>
        </w:rPr>
        <w:t xml:space="preserve"> Meetings</w:t>
      </w:r>
      <w:r w:rsidR="006F78EB">
        <w:rPr>
          <w:rFonts w:ascii="Arial" w:hAnsi="Arial" w:cs="Arial"/>
        </w:rPr>
        <w:t xml:space="preserve">, </w:t>
      </w:r>
      <w:r w:rsidR="00C36793">
        <w:rPr>
          <w:rFonts w:ascii="Arial" w:hAnsi="Arial" w:cs="Arial"/>
        </w:rPr>
        <w:t>Winter</w:t>
      </w:r>
      <w:r w:rsidR="006F78EB">
        <w:rPr>
          <w:rFonts w:ascii="Arial" w:hAnsi="Arial" w:cs="Arial"/>
        </w:rPr>
        <w:t xml:space="preserve"> </w:t>
      </w:r>
      <w:r w:rsidRPr="000266B1">
        <w:rPr>
          <w:rFonts w:ascii="Arial" w:hAnsi="Arial" w:cs="Arial"/>
        </w:rPr>
        <w:t>202</w:t>
      </w:r>
      <w:r w:rsidR="00C36793">
        <w:rPr>
          <w:rFonts w:ascii="Arial" w:hAnsi="Arial" w:cs="Arial"/>
        </w:rPr>
        <w:t>3</w:t>
      </w:r>
      <w:r w:rsidRPr="000266B1">
        <w:rPr>
          <w:rFonts w:ascii="Arial" w:hAnsi="Arial" w:cs="Arial"/>
        </w:rPr>
        <w:t>:</w:t>
      </w:r>
    </w:p>
    <w:tbl>
      <w:tblPr>
        <w:tblStyle w:val="TableGrid"/>
        <w:tblW w:w="10188" w:type="dxa"/>
        <w:tblInd w:w="-275" w:type="dxa"/>
        <w:tblLook w:val="04A0" w:firstRow="1" w:lastRow="0" w:firstColumn="1" w:lastColumn="0" w:noHBand="0" w:noVBand="1"/>
      </w:tblPr>
      <w:tblGrid>
        <w:gridCol w:w="2070"/>
        <w:gridCol w:w="1081"/>
        <w:gridCol w:w="1056"/>
        <w:gridCol w:w="1080"/>
        <w:gridCol w:w="1553"/>
        <w:gridCol w:w="3348"/>
      </w:tblGrid>
      <w:tr w:rsidR="00DA2117" w:rsidRPr="00C73B6B" w14:paraId="0A5B1234" w14:textId="77777777" w:rsidTr="00851821">
        <w:tc>
          <w:tcPr>
            <w:tcW w:w="2070" w:type="dxa"/>
            <w:vAlign w:val="center"/>
          </w:tcPr>
          <w:p w14:paraId="2027FBCF" w14:textId="77777777" w:rsidR="00DA2117" w:rsidRPr="00C73B6B" w:rsidRDefault="00DA2117" w:rsidP="00851821">
            <w:pPr>
              <w:rPr>
                <w:b/>
                <w:sz w:val="20"/>
              </w:rPr>
            </w:pPr>
            <w:r w:rsidRPr="00C73B6B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Committee</w:t>
            </w:r>
          </w:p>
        </w:tc>
        <w:tc>
          <w:tcPr>
            <w:tcW w:w="1081" w:type="dxa"/>
            <w:vAlign w:val="center"/>
          </w:tcPr>
          <w:p w14:paraId="38F3EEF2" w14:textId="77777777" w:rsidR="00DA2117" w:rsidRPr="00C73B6B" w:rsidRDefault="00DA2117" w:rsidP="00851821">
            <w:pPr>
              <w:rPr>
                <w:b/>
                <w:sz w:val="20"/>
              </w:rPr>
            </w:pPr>
            <w:r w:rsidRPr="00C73B6B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Date</w:t>
            </w:r>
          </w:p>
        </w:tc>
        <w:tc>
          <w:tcPr>
            <w:tcW w:w="1056" w:type="dxa"/>
            <w:vAlign w:val="center"/>
          </w:tcPr>
          <w:p w14:paraId="01227CFB" w14:textId="77777777" w:rsidR="00DA2117" w:rsidRPr="00C73B6B" w:rsidRDefault="00DA2117" w:rsidP="00851821">
            <w:pPr>
              <w:rPr>
                <w:b/>
                <w:sz w:val="20"/>
              </w:rPr>
            </w:pPr>
            <w:r w:rsidRPr="00C73B6B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Start </w:t>
            </w:r>
          </w:p>
        </w:tc>
        <w:tc>
          <w:tcPr>
            <w:tcW w:w="1080" w:type="dxa"/>
            <w:vAlign w:val="center"/>
          </w:tcPr>
          <w:p w14:paraId="23214C1A" w14:textId="77777777" w:rsidR="00DA2117" w:rsidRPr="00C73B6B" w:rsidRDefault="00DA2117" w:rsidP="00851821">
            <w:pPr>
              <w:rPr>
                <w:b/>
                <w:sz w:val="20"/>
              </w:rPr>
            </w:pPr>
            <w:r w:rsidRPr="00C73B6B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End</w:t>
            </w:r>
          </w:p>
        </w:tc>
        <w:tc>
          <w:tcPr>
            <w:tcW w:w="1553" w:type="dxa"/>
            <w:vAlign w:val="center"/>
          </w:tcPr>
          <w:p w14:paraId="4F714DA6" w14:textId="77777777" w:rsidR="00DA2117" w:rsidRPr="00C73B6B" w:rsidRDefault="00DA2117" w:rsidP="00851821">
            <w:pPr>
              <w:rPr>
                <w:b/>
                <w:sz w:val="20"/>
              </w:rPr>
            </w:pPr>
            <w:r w:rsidRPr="00C73B6B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Chair</w:t>
            </w:r>
          </w:p>
        </w:tc>
        <w:tc>
          <w:tcPr>
            <w:tcW w:w="3348" w:type="dxa"/>
            <w:vAlign w:val="center"/>
          </w:tcPr>
          <w:p w14:paraId="48BCB43B" w14:textId="15D98F16" w:rsidR="00DA2117" w:rsidRPr="00C73B6B" w:rsidRDefault="007755A3" w:rsidP="00851821">
            <w:pPr>
              <w:ind w:right="912"/>
              <w:rPr>
                <w:b/>
                <w:sz w:val="20"/>
              </w:rPr>
            </w:pPr>
            <w:r>
              <w:rPr>
                <w:b/>
                <w:sz w:val="20"/>
              </w:rPr>
              <w:t>WebEx</w:t>
            </w:r>
            <w:r w:rsidR="004F191E">
              <w:rPr>
                <w:b/>
                <w:sz w:val="20"/>
              </w:rPr>
              <w:t xml:space="preserve"> Mtg Link</w:t>
            </w:r>
          </w:p>
        </w:tc>
      </w:tr>
      <w:tr w:rsidR="00DA2117" w:rsidRPr="00073572" w14:paraId="7F03A83A" w14:textId="77777777" w:rsidTr="00851821">
        <w:tc>
          <w:tcPr>
            <w:tcW w:w="2070" w:type="dxa"/>
            <w:shd w:val="clear" w:color="auto" w:fill="D9E2F3" w:themeFill="accent5" w:themeFillTint="33"/>
            <w:vAlign w:val="center"/>
          </w:tcPr>
          <w:p w14:paraId="62D61567" w14:textId="5723AFF5" w:rsidR="00DA2117" w:rsidRPr="00C73B6B" w:rsidRDefault="00DA2117" w:rsidP="00851821">
            <w:pPr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Standards</w:t>
            </w:r>
            <w:r w:rsidR="004860B1">
              <w:rPr>
                <w:rFonts w:ascii="Calibri" w:hAnsi="Calibri" w:cs="Calibri"/>
                <w:color w:val="000000"/>
                <w:sz w:val="20"/>
                <w:szCs w:val="22"/>
              </w:rPr>
              <w:t>/Research</w:t>
            </w:r>
          </w:p>
        </w:tc>
        <w:tc>
          <w:tcPr>
            <w:tcW w:w="1081" w:type="dxa"/>
            <w:shd w:val="clear" w:color="auto" w:fill="D9E2F3" w:themeFill="accent5" w:themeFillTint="33"/>
            <w:vAlign w:val="center"/>
          </w:tcPr>
          <w:p w14:paraId="49FFF951" w14:textId="4F094310" w:rsidR="00DA2117" w:rsidRPr="00B63623" w:rsidRDefault="00C36793" w:rsidP="00851821">
            <w:pPr>
              <w:rPr>
                <w:bCs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</w:p>
        </w:tc>
        <w:tc>
          <w:tcPr>
            <w:tcW w:w="1056" w:type="dxa"/>
            <w:shd w:val="clear" w:color="auto" w:fill="D9E2F3" w:themeFill="accent5" w:themeFillTint="33"/>
            <w:vAlign w:val="center"/>
          </w:tcPr>
          <w:p w14:paraId="7C0C7DA7" w14:textId="32FDF120" w:rsidR="00DA2117" w:rsidRPr="00B63623" w:rsidRDefault="00C36793" w:rsidP="00851821">
            <w:pPr>
              <w:rPr>
                <w:bCs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14:paraId="063D58B9" w14:textId="4A34407B" w:rsidR="00DA2117" w:rsidRPr="00B63623" w:rsidRDefault="00C36793" w:rsidP="00851821">
            <w:pPr>
              <w:rPr>
                <w:bCs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</w:p>
        </w:tc>
        <w:tc>
          <w:tcPr>
            <w:tcW w:w="1553" w:type="dxa"/>
            <w:shd w:val="clear" w:color="auto" w:fill="D9E2F3" w:themeFill="accent5" w:themeFillTint="33"/>
            <w:vAlign w:val="center"/>
          </w:tcPr>
          <w:p w14:paraId="7A8157CB" w14:textId="2558322E" w:rsidR="00DA2117" w:rsidRPr="00C73B6B" w:rsidRDefault="00C36793" w:rsidP="008518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Steve Sill</w:t>
            </w:r>
          </w:p>
        </w:tc>
        <w:tc>
          <w:tcPr>
            <w:tcW w:w="3348" w:type="dxa"/>
            <w:shd w:val="clear" w:color="auto" w:fill="D9E2F3" w:themeFill="accent5" w:themeFillTint="33"/>
            <w:vAlign w:val="bottom"/>
          </w:tcPr>
          <w:p w14:paraId="4F11F57D" w14:textId="2166E0A5" w:rsidR="00DA2117" w:rsidRPr="00207EDA" w:rsidRDefault="00C36793" w:rsidP="00535B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  <w:r w:rsidRPr="00207E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A2117" w:rsidRPr="00073572" w14:paraId="36B0846C" w14:textId="77777777" w:rsidTr="00851821">
        <w:tc>
          <w:tcPr>
            <w:tcW w:w="2070" w:type="dxa"/>
            <w:shd w:val="clear" w:color="auto" w:fill="D9E2F3" w:themeFill="accent5" w:themeFillTint="33"/>
            <w:vAlign w:val="center"/>
          </w:tcPr>
          <w:p w14:paraId="4A59C7E2" w14:textId="567C9D96" w:rsidR="00DA2117" w:rsidRPr="00C73B6B" w:rsidRDefault="00DA2117" w:rsidP="00851821">
            <w:pPr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Program</w:t>
            </w:r>
            <w:r w:rsidR="00351770">
              <w:rPr>
                <w:rFonts w:ascii="Calibri" w:hAnsi="Calibri" w:cs="Calibri"/>
                <w:color w:val="000000"/>
                <w:sz w:val="20"/>
                <w:szCs w:val="22"/>
              </w:rPr>
              <w:t>s</w:t>
            </w:r>
          </w:p>
        </w:tc>
        <w:tc>
          <w:tcPr>
            <w:tcW w:w="1081" w:type="dxa"/>
            <w:shd w:val="clear" w:color="auto" w:fill="D9E2F3" w:themeFill="accent5" w:themeFillTint="33"/>
            <w:vAlign w:val="center"/>
          </w:tcPr>
          <w:p w14:paraId="71560B08" w14:textId="54843CD2" w:rsidR="00DA2117" w:rsidRPr="00B63623" w:rsidRDefault="00C36793" w:rsidP="00851821">
            <w:pPr>
              <w:rPr>
                <w:bCs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</w:p>
        </w:tc>
        <w:tc>
          <w:tcPr>
            <w:tcW w:w="1056" w:type="dxa"/>
            <w:shd w:val="clear" w:color="auto" w:fill="D9E2F3" w:themeFill="accent5" w:themeFillTint="33"/>
            <w:vAlign w:val="center"/>
          </w:tcPr>
          <w:p w14:paraId="0CF21B42" w14:textId="6DC04AD6" w:rsidR="00DA2117" w:rsidRPr="00B63623" w:rsidRDefault="00C36793" w:rsidP="00851821">
            <w:pPr>
              <w:rPr>
                <w:bCs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14:paraId="3F0C7570" w14:textId="0253AC71" w:rsidR="00DA2117" w:rsidRPr="00B63623" w:rsidRDefault="00C36793" w:rsidP="00851821">
            <w:pPr>
              <w:rPr>
                <w:bCs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</w:p>
        </w:tc>
        <w:tc>
          <w:tcPr>
            <w:tcW w:w="1553" w:type="dxa"/>
            <w:shd w:val="clear" w:color="auto" w:fill="D9E2F3" w:themeFill="accent5" w:themeFillTint="33"/>
            <w:vAlign w:val="center"/>
          </w:tcPr>
          <w:p w14:paraId="5C0227F2" w14:textId="77777777" w:rsidR="00DA2117" w:rsidRPr="00C73B6B" w:rsidRDefault="00DA2117" w:rsidP="00851821">
            <w:pPr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Jason Degraw</w:t>
            </w:r>
          </w:p>
        </w:tc>
        <w:tc>
          <w:tcPr>
            <w:tcW w:w="3348" w:type="dxa"/>
            <w:shd w:val="clear" w:color="auto" w:fill="D9E2F3" w:themeFill="accent5" w:themeFillTint="33"/>
            <w:vAlign w:val="bottom"/>
          </w:tcPr>
          <w:p w14:paraId="59C35C15" w14:textId="4CD53BF3" w:rsidR="00DA2117" w:rsidRPr="00207EDA" w:rsidRDefault="00C36793" w:rsidP="00535B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  <w:r w:rsidRPr="00207E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A2117" w:rsidRPr="00073572" w14:paraId="624345D8" w14:textId="77777777" w:rsidTr="00851821">
        <w:tc>
          <w:tcPr>
            <w:tcW w:w="2070" w:type="dxa"/>
            <w:shd w:val="clear" w:color="auto" w:fill="FFF2CC" w:themeFill="accent4" w:themeFillTint="33"/>
            <w:vAlign w:val="center"/>
          </w:tcPr>
          <w:p w14:paraId="2CD4E134" w14:textId="77777777" w:rsidR="00DA2117" w:rsidRPr="00C73B6B" w:rsidRDefault="00DA2117" w:rsidP="00851821">
            <w:pPr>
              <w:rPr>
                <w:b/>
                <w:sz w:val="20"/>
              </w:rPr>
            </w:pPr>
            <w:r w:rsidRPr="00C73B6B">
              <w:rPr>
                <w:rFonts w:ascii="Calibri" w:hAnsi="Calibri" w:cs="Calibri"/>
                <w:color w:val="000000"/>
                <w:sz w:val="20"/>
                <w:szCs w:val="22"/>
              </w:rPr>
              <w:t>Handbook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7DD043AE" w14:textId="73ED1686" w:rsidR="00DA2117" w:rsidRPr="00B63623" w:rsidRDefault="00C36793" w:rsidP="00851821">
            <w:pPr>
              <w:rPr>
                <w:bCs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14:paraId="39C16877" w14:textId="1277B9FD" w:rsidR="00DA2117" w:rsidRPr="00B63623" w:rsidRDefault="00C36793" w:rsidP="00851821">
            <w:pPr>
              <w:rPr>
                <w:bCs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14:paraId="4BD1799E" w14:textId="17B77476" w:rsidR="00DA2117" w:rsidRPr="00B63623" w:rsidRDefault="00C36793" w:rsidP="00851821">
            <w:pPr>
              <w:rPr>
                <w:bCs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</w:p>
        </w:tc>
        <w:tc>
          <w:tcPr>
            <w:tcW w:w="1553" w:type="dxa"/>
            <w:shd w:val="clear" w:color="auto" w:fill="FFF2CC" w:themeFill="accent4" w:themeFillTint="33"/>
            <w:vAlign w:val="center"/>
          </w:tcPr>
          <w:p w14:paraId="3E337AD0" w14:textId="5D1C0815" w:rsidR="00DA2117" w:rsidRPr="00C73B6B" w:rsidRDefault="00B371D9" w:rsidP="00851821">
            <w:pPr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David E</w:t>
            </w:r>
            <w:r w:rsidR="00DA2117">
              <w:rPr>
                <w:rFonts w:ascii="Calibri" w:hAnsi="Calibri" w:cs="Calibri"/>
                <w:color w:val="000000"/>
                <w:sz w:val="20"/>
                <w:szCs w:val="22"/>
              </w:rPr>
              <w:t>vers</w:t>
            </w:r>
          </w:p>
        </w:tc>
        <w:tc>
          <w:tcPr>
            <w:tcW w:w="3348" w:type="dxa"/>
            <w:shd w:val="clear" w:color="auto" w:fill="FFF2CC" w:themeFill="accent4" w:themeFillTint="33"/>
            <w:vAlign w:val="bottom"/>
          </w:tcPr>
          <w:p w14:paraId="57FB644A" w14:textId="188C0EDB" w:rsidR="00DA2117" w:rsidRPr="00207EDA" w:rsidRDefault="00C36793" w:rsidP="00535B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  <w:r w:rsidRPr="00207E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A2117" w:rsidRPr="00073572" w14:paraId="126159A2" w14:textId="77777777" w:rsidTr="00851821">
        <w:tc>
          <w:tcPr>
            <w:tcW w:w="2070" w:type="dxa"/>
            <w:shd w:val="clear" w:color="auto" w:fill="FFF2CC" w:themeFill="accent4" w:themeFillTint="33"/>
            <w:vAlign w:val="center"/>
          </w:tcPr>
          <w:p w14:paraId="49DB5CF0" w14:textId="713DBC31" w:rsidR="00DA2117" w:rsidRPr="00885813" w:rsidRDefault="00885813" w:rsidP="00851821">
            <w:pPr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MTG.RES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7F894B7C" w14:textId="07F00B5F" w:rsidR="00DA2117" w:rsidRPr="00B63623" w:rsidRDefault="00F16344" w:rsidP="00851821">
            <w:pPr>
              <w:rPr>
                <w:bCs/>
                <w:sz w:val="20"/>
              </w:rPr>
            </w:pPr>
            <w:r w:rsidRPr="00B63623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NA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14:paraId="5121CE41" w14:textId="431ADE95" w:rsidR="00DA2117" w:rsidRPr="00B63623" w:rsidRDefault="00F16344" w:rsidP="00851821">
            <w:pPr>
              <w:rPr>
                <w:bCs/>
                <w:sz w:val="20"/>
              </w:rPr>
            </w:pPr>
            <w:r w:rsidRPr="00B63623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NA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14:paraId="18F27758" w14:textId="4D4269EF" w:rsidR="00DA2117" w:rsidRPr="00B63623" w:rsidRDefault="00F16344" w:rsidP="00851821">
            <w:pPr>
              <w:rPr>
                <w:bCs/>
                <w:sz w:val="20"/>
              </w:rPr>
            </w:pPr>
            <w:r w:rsidRPr="00B63623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NA</w:t>
            </w:r>
          </w:p>
        </w:tc>
        <w:tc>
          <w:tcPr>
            <w:tcW w:w="1553" w:type="dxa"/>
            <w:shd w:val="clear" w:color="auto" w:fill="FFF2CC" w:themeFill="accent4" w:themeFillTint="33"/>
            <w:vAlign w:val="center"/>
          </w:tcPr>
          <w:p w14:paraId="28D93BBE" w14:textId="77777777" w:rsidR="00DA2117" w:rsidRPr="00C73B6B" w:rsidRDefault="00DA2117" w:rsidP="00851821">
            <w:pPr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Scott Campbell</w:t>
            </w:r>
          </w:p>
        </w:tc>
        <w:tc>
          <w:tcPr>
            <w:tcW w:w="3348" w:type="dxa"/>
            <w:shd w:val="clear" w:color="auto" w:fill="FFF2CC" w:themeFill="accent4" w:themeFillTint="33"/>
            <w:vAlign w:val="bottom"/>
          </w:tcPr>
          <w:p w14:paraId="30D5BA85" w14:textId="248C2BC5" w:rsidR="00DA2117" w:rsidRPr="00207EDA" w:rsidRDefault="002C791B" w:rsidP="00746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535B24" w:rsidRPr="004F191E" w14:paraId="4F007912" w14:textId="77777777" w:rsidTr="00851821"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189DF539" w14:textId="6031813A" w:rsidR="00535B24" w:rsidRPr="00C73B6B" w:rsidRDefault="00535B24" w:rsidP="0085182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Honors and Awards</w:t>
            </w: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14:paraId="7ED5421A" w14:textId="1758EA5C" w:rsidR="00535B24" w:rsidRPr="00B63623" w:rsidRDefault="00C36793" w:rsidP="00851821">
            <w:pPr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5655DAB4" w14:textId="6C9ED401" w:rsidR="00535B24" w:rsidRPr="00B63623" w:rsidRDefault="00C36793" w:rsidP="00851821">
            <w:pPr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B3FD96" w14:textId="69CECFB4" w:rsidR="00535B24" w:rsidRPr="00B63623" w:rsidRDefault="00C36793" w:rsidP="00851821">
            <w:pPr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3214474C" w14:textId="1951729A" w:rsidR="00535B24" w:rsidRDefault="003468EB" w:rsidP="0085182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Haven Cassidy</w:t>
            </w:r>
          </w:p>
        </w:tc>
        <w:tc>
          <w:tcPr>
            <w:tcW w:w="3348" w:type="dxa"/>
            <w:shd w:val="clear" w:color="auto" w:fill="F2F2F2" w:themeFill="background1" w:themeFillShade="F2"/>
            <w:vAlign w:val="bottom"/>
          </w:tcPr>
          <w:p w14:paraId="4F00065A" w14:textId="432AE8CF" w:rsidR="00535B24" w:rsidRPr="00207EDA" w:rsidRDefault="00C36793" w:rsidP="008518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  <w:r w:rsidRPr="00207E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A2117" w:rsidRPr="004F191E" w14:paraId="55513039" w14:textId="77777777" w:rsidTr="00851821"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BB8631C" w14:textId="7B5B46D3" w:rsidR="00DA2117" w:rsidRPr="00C73B6B" w:rsidRDefault="00DA2117" w:rsidP="00851821">
            <w:pPr>
              <w:rPr>
                <w:b/>
                <w:sz w:val="20"/>
              </w:rPr>
            </w:pPr>
            <w:r w:rsidRPr="00C73B6B">
              <w:rPr>
                <w:rFonts w:ascii="Calibri" w:hAnsi="Calibri" w:cs="Calibri"/>
                <w:color w:val="000000"/>
                <w:sz w:val="20"/>
                <w:szCs w:val="22"/>
              </w:rPr>
              <w:t>Main TC</w:t>
            </w:r>
            <w:r w:rsidR="0025605B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2.10</w:t>
            </w: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14:paraId="2BBEF90C" w14:textId="658B7975" w:rsidR="00DA2117" w:rsidRPr="00B63623" w:rsidRDefault="00C36793" w:rsidP="0085182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Feb 7</w:t>
            </w:r>
            <w:r w:rsidR="00885813" w:rsidRPr="00B63623">
              <w:rPr>
                <w:bCs/>
                <w:sz w:val="20"/>
              </w:rPr>
              <w:t>, 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58650CF6" w14:textId="2AA70D28" w:rsidR="00DA2117" w:rsidRPr="00B63623" w:rsidRDefault="004A74F6" w:rsidP="00851821">
            <w:pPr>
              <w:rPr>
                <w:bCs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</w:t>
            </w:r>
            <w:r w:rsidR="00770B67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:</w:t>
            </w: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30</w:t>
            </w:r>
            <w:r w:rsidR="00770B67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</w:t>
            </w:r>
            <w:r w:rsidR="003468EB" w:rsidRPr="00B63623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pm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7AF1DC6" w14:textId="3C8477B5" w:rsidR="00DA2117" w:rsidRPr="00B63623" w:rsidRDefault="004A74F6" w:rsidP="00851821">
            <w:pPr>
              <w:rPr>
                <w:bCs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6</w:t>
            </w:r>
            <w:r w:rsidR="00770B67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:00 </w:t>
            </w:r>
            <w:r w:rsidR="003468EB" w:rsidRPr="00B63623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pm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5415F7B1" w14:textId="4277C509" w:rsidR="00DA2117" w:rsidRPr="00C73B6B" w:rsidRDefault="00C36793" w:rsidP="00851821">
            <w:pPr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Anthony York</w:t>
            </w:r>
          </w:p>
        </w:tc>
        <w:tc>
          <w:tcPr>
            <w:tcW w:w="3348" w:type="dxa"/>
            <w:shd w:val="clear" w:color="auto" w:fill="F2F2F2" w:themeFill="background1" w:themeFillShade="F2"/>
            <w:vAlign w:val="bottom"/>
          </w:tcPr>
          <w:p w14:paraId="69CC1512" w14:textId="7E571BB2" w:rsidR="00DA2117" w:rsidRPr="00207EDA" w:rsidRDefault="00C36793" w:rsidP="008518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TBD</w:t>
            </w:r>
            <w:r w:rsidRPr="00207E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14FDA259" w14:textId="5D2846ED" w:rsidR="00DA2117" w:rsidRPr="00DA2117" w:rsidRDefault="0021351E" w:rsidP="00DA2117">
      <w:pPr>
        <w:ind w:left="540"/>
        <w:rPr>
          <w:color w:val="0000FF"/>
          <w:sz w:val="16"/>
          <w:szCs w:val="16"/>
          <w:u w:val="single"/>
        </w:rPr>
      </w:pPr>
      <w:r>
        <w:br/>
      </w:r>
      <w:r w:rsidR="00A35172">
        <w:rPr>
          <w:b/>
        </w:rPr>
        <w:t>Attendance</w:t>
      </w:r>
      <w:r w:rsidR="00DA2117">
        <w:rPr>
          <w:b/>
        </w:rPr>
        <w:t xml:space="preserve"> Sheet:</w:t>
      </w:r>
      <w:r w:rsidR="004F191E">
        <w:rPr>
          <w:b/>
        </w:rPr>
        <w:t xml:space="preserve"> at the meetings</w:t>
      </w:r>
      <w:r w:rsidR="001E36BE">
        <w:rPr>
          <w:b/>
        </w:rPr>
        <w:t xml:space="preserve"> or Google Doc Link </w:t>
      </w:r>
      <w:r w:rsidR="00632881" w:rsidRPr="00632881">
        <w:rPr>
          <w:b/>
          <w:color w:val="00B0F0"/>
        </w:rPr>
        <w:t>https://docs.google.com/spreadsheets/d/1P4Ae6bh1wfcMA8-2pkzipLWXrOozEckSWTiH8GGqbMc/edit?usp=sharing</w:t>
      </w:r>
    </w:p>
    <w:p w14:paraId="63C65CF1" w14:textId="77777777" w:rsidR="00653E39" w:rsidRPr="001F3336" w:rsidRDefault="00653E39" w:rsidP="00653E39">
      <w:pPr>
        <w:ind w:left="540"/>
        <w:rPr>
          <w:b/>
        </w:rPr>
      </w:pPr>
    </w:p>
    <w:p w14:paraId="56683CF5" w14:textId="336CE554" w:rsidR="00B150D7" w:rsidRPr="001F3336" w:rsidRDefault="00B150D7" w:rsidP="00B150D7">
      <w:pPr>
        <w:numPr>
          <w:ilvl w:val="0"/>
          <w:numId w:val="9"/>
        </w:numPr>
        <w:spacing w:line="240" w:lineRule="exact"/>
        <w:ind w:right="-720"/>
      </w:pPr>
      <w:r w:rsidRPr="001F3336">
        <w:t>Welcome</w:t>
      </w:r>
      <w:r w:rsidR="00C36793">
        <w:t xml:space="preserve"> by Anthony York - Chair</w:t>
      </w:r>
    </w:p>
    <w:p w14:paraId="77F775CA" w14:textId="77777777" w:rsidR="00B150D7" w:rsidRPr="001F3336" w:rsidRDefault="00B150D7" w:rsidP="00B150D7">
      <w:pPr>
        <w:spacing w:line="240" w:lineRule="exact"/>
        <w:ind w:left="360" w:right="-720"/>
      </w:pPr>
    </w:p>
    <w:p w14:paraId="7C9CB5B5" w14:textId="77777777" w:rsidR="00CF005A" w:rsidRDefault="00B150D7" w:rsidP="00B150D7">
      <w:pPr>
        <w:numPr>
          <w:ilvl w:val="0"/>
          <w:numId w:val="9"/>
        </w:numPr>
        <w:spacing w:line="240" w:lineRule="exact"/>
        <w:ind w:right="-720"/>
      </w:pPr>
      <w:r w:rsidRPr="001F3336">
        <w:t xml:space="preserve">Roll Call </w:t>
      </w:r>
      <w:r w:rsidR="00CF005A">
        <w:t xml:space="preserve">of Voting Members </w:t>
      </w:r>
      <w:r w:rsidRPr="001F3336">
        <w:t xml:space="preserve">and Introductions.  </w:t>
      </w:r>
    </w:p>
    <w:p w14:paraId="6B6ED113" w14:textId="1C10DF92" w:rsidR="00B150D7" w:rsidRDefault="00CF005A" w:rsidP="00CF005A">
      <w:pPr>
        <w:spacing w:line="240" w:lineRule="exact"/>
        <w:ind w:right="-720" w:firstLine="360"/>
      </w:pPr>
      <w:r>
        <w:t>-</w:t>
      </w:r>
      <w:r w:rsidR="00B150D7" w:rsidRPr="001F3336">
        <w:t xml:space="preserve">Review VMs, CMs, and PCMs </w:t>
      </w:r>
      <w:r w:rsidR="006A5389">
        <w:t>– current as of</w:t>
      </w:r>
      <w:r w:rsidR="004F4943">
        <w:t xml:space="preserve"> on or after</w:t>
      </w:r>
      <w:r w:rsidR="00B150D7" w:rsidRPr="001F3336">
        <w:t xml:space="preserve"> </w:t>
      </w:r>
      <w:r w:rsidR="00535B24">
        <w:t>Ju</w:t>
      </w:r>
      <w:r w:rsidR="00B15EC9">
        <w:t>ly 1</w:t>
      </w:r>
      <w:r w:rsidR="00B150D7" w:rsidRPr="001F3336">
        <w:t>, 20</w:t>
      </w:r>
      <w:r w:rsidR="0053323F">
        <w:t>2</w:t>
      </w:r>
      <w:r w:rsidR="00857B8E">
        <w:t>2</w:t>
      </w:r>
    </w:p>
    <w:p w14:paraId="0CF87BA8" w14:textId="3FD2E9AB" w:rsidR="00207EDA" w:rsidRDefault="00CF005A" w:rsidP="00B15EC9">
      <w:pPr>
        <w:ind w:left="360"/>
      </w:pPr>
      <w:r>
        <w:t>-</w:t>
      </w:r>
      <w:r w:rsidR="004A74F6">
        <w:t xml:space="preserve">New </w:t>
      </w:r>
      <w:r w:rsidR="00B150D7">
        <w:t>voting member list</w:t>
      </w:r>
      <w:r w:rsidR="00604854">
        <w:t xml:space="preserve"> (ending month</w:t>
      </w:r>
      <w:r w:rsidR="007C682A">
        <w:t xml:space="preserve"> Ju</w:t>
      </w:r>
      <w:r w:rsidR="004A74F6">
        <w:t>ly</w:t>
      </w:r>
      <w:r w:rsidR="007C682A">
        <w:t xml:space="preserve"> </w:t>
      </w:r>
      <w:r w:rsidR="004A74F6">
        <w:t>1</w:t>
      </w:r>
      <w:r w:rsidR="007C682A">
        <w:t>, 2022</w:t>
      </w:r>
      <w:r w:rsidR="00604854">
        <w:t>)</w:t>
      </w:r>
      <w:r w:rsidR="00B150D7">
        <w:t xml:space="preserve">: </w:t>
      </w:r>
      <w:r w:rsidR="004F191E">
        <w:t xml:space="preserve"> </w:t>
      </w:r>
    </w:p>
    <w:p w14:paraId="1F864ACA" w14:textId="77777777" w:rsidR="003D359A" w:rsidRPr="001F3336" w:rsidRDefault="003D359A" w:rsidP="00B15EC9">
      <w:pPr>
        <w:ind w:left="360"/>
      </w:pPr>
    </w:p>
    <w:p w14:paraId="7D4F5CA9" w14:textId="502238D1" w:rsidR="00B150D7" w:rsidRPr="001F3336" w:rsidRDefault="00B150D7" w:rsidP="00B150D7">
      <w:pPr>
        <w:numPr>
          <w:ilvl w:val="0"/>
          <w:numId w:val="9"/>
        </w:numPr>
        <w:spacing w:line="240" w:lineRule="exact"/>
        <w:ind w:right="-720"/>
      </w:pPr>
      <w:proofErr w:type="gramStart"/>
      <w:r w:rsidRPr="001F3336">
        <w:t>Scope</w:t>
      </w:r>
      <w:r w:rsidR="002C791B" w:rsidRPr="002C791B">
        <w:t xml:space="preserve"> </w:t>
      </w:r>
      <w:r w:rsidR="002C791B" w:rsidRPr="00FD132E">
        <w:t xml:space="preserve"> –</w:t>
      </w:r>
      <w:proofErr w:type="gramEnd"/>
      <w:r w:rsidR="002C791B" w:rsidRPr="00FD132E">
        <w:t xml:space="preserve"> </w:t>
      </w:r>
      <w:r w:rsidR="002C791B" w:rsidRPr="0021351E">
        <w:t>Chair</w:t>
      </w:r>
    </w:p>
    <w:p w14:paraId="68A2BFE5" w14:textId="0D5D558E" w:rsidR="00B150D7" w:rsidRPr="00FD132E" w:rsidRDefault="00BE04AE" w:rsidP="00B150D7">
      <w:pPr>
        <w:pStyle w:val="Quote"/>
        <w:ind w:left="360"/>
        <w:rPr>
          <w:rFonts w:eastAsia="SimSun"/>
          <w:i w:val="0"/>
          <w:iCs w:val="0"/>
          <w:color w:val="auto"/>
        </w:rPr>
      </w:pPr>
      <w:r w:rsidRPr="00FD132E">
        <w:rPr>
          <w:rFonts w:eastAsia="SimSun"/>
          <w:i w:val="0"/>
          <w:iCs w:val="0"/>
          <w:color w:val="auto"/>
        </w:rPr>
        <w:t>TC 2.10 Resilience and Security is concerned with fundamental scientific and engineering design principles for the resilience of the built environments subjected to extraordinary events including mitigating consequential damages, remediation, and recovery.</w:t>
      </w:r>
    </w:p>
    <w:p w14:paraId="58BC93D8" w14:textId="77777777" w:rsidR="00FD132E" w:rsidRPr="001F3336" w:rsidRDefault="00FD132E" w:rsidP="00B150D7">
      <w:pPr>
        <w:spacing w:line="240" w:lineRule="exact"/>
        <w:ind w:right="-720"/>
      </w:pPr>
    </w:p>
    <w:p w14:paraId="4E54786F" w14:textId="7DEFEBF0" w:rsidR="00B150D7" w:rsidRPr="0021351E" w:rsidRDefault="00B150D7" w:rsidP="003D359A">
      <w:pPr>
        <w:pStyle w:val="ListParagraph"/>
        <w:numPr>
          <w:ilvl w:val="0"/>
          <w:numId w:val="9"/>
        </w:numPr>
        <w:spacing w:line="240" w:lineRule="exact"/>
        <w:ind w:right="-720"/>
      </w:pPr>
      <w:r w:rsidRPr="0021351E">
        <w:t>ASHRAE Code of Ethics Commitment – Chair</w:t>
      </w:r>
    </w:p>
    <w:p w14:paraId="199D2C4B" w14:textId="71216D92" w:rsidR="00B150D7" w:rsidRPr="00FD132E" w:rsidRDefault="00FD132E" w:rsidP="00FD132E">
      <w:pPr>
        <w:shd w:val="clear" w:color="auto" w:fill="FFFFFF"/>
        <w:spacing w:after="100" w:afterAutospacing="1"/>
        <w:ind w:left="360"/>
        <w:rPr>
          <w:rFonts w:ascii="Helvetica" w:eastAsia="Times New Roman" w:hAnsi="Helvetica"/>
          <w:color w:val="49494C"/>
        </w:rPr>
      </w:pPr>
      <w:r w:rsidRPr="00FD132E">
        <w:t xml:space="preserve">In this and all other ASHRAE meetings, we will act with honesty, fairness, courtesy, competence, </w:t>
      </w:r>
      <w:proofErr w:type="gramStart"/>
      <w:r w:rsidRPr="00FD132E">
        <w:t>inclusiveness</w:t>
      </w:r>
      <w:proofErr w:type="gramEnd"/>
      <w:r w:rsidRPr="00FD132E">
        <w:t xml:space="preserve"> and respect for others, which exemplify our core values of excellence, commitment, integrity, collaboration, volunteerism and diversity, and we shall avoid all real or perceived conflicts of interests.</w:t>
      </w:r>
      <w:r w:rsidRPr="00FD132E">
        <w:rPr>
          <w:rFonts w:ascii="Helvetica" w:eastAsia="Times New Roman" w:hAnsi="Helvetica"/>
          <w:i/>
          <w:iCs/>
          <w:color w:val="49494C"/>
        </w:rPr>
        <w:t xml:space="preserve">  </w:t>
      </w:r>
      <w:r w:rsidR="00B150D7" w:rsidRPr="00FD132E">
        <w:rPr>
          <w:color w:val="000000"/>
        </w:rPr>
        <w:t xml:space="preserve">(See full Code of Ethics: </w:t>
      </w:r>
      <w:hyperlink r:id="rId9" w:history="1">
        <w:r w:rsidR="00B150D7" w:rsidRPr="001F3336">
          <w:rPr>
            <w:rStyle w:val="Hyperlink"/>
          </w:rPr>
          <w:t>https://www.ashrae.org/about-ashrae/ashrae-code-of-ethics</w:t>
        </w:r>
      </w:hyperlink>
      <w:r w:rsidR="00B150D7" w:rsidRPr="00FD132E">
        <w:rPr>
          <w:color w:val="000000"/>
        </w:rPr>
        <w:t>.)</w:t>
      </w:r>
    </w:p>
    <w:p w14:paraId="190B3F78" w14:textId="0A08A63A" w:rsidR="00FD132E" w:rsidRPr="00FD132E" w:rsidRDefault="00FD132E" w:rsidP="00FD132E">
      <w:pPr>
        <w:pStyle w:val="Heading3"/>
        <w:numPr>
          <w:ilvl w:val="0"/>
          <w:numId w:val="9"/>
        </w:numPr>
        <w:shd w:val="clear" w:color="auto" w:fill="FFFFFF"/>
        <w:spacing w:before="0"/>
        <w:rPr>
          <w:rFonts w:ascii="Times New Roman" w:eastAsia="SimSun" w:hAnsi="Times New Roman" w:cs="Times New Roman"/>
          <w:color w:val="auto"/>
        </w:rPr>
      </w:pPr>
      <w:r w:rsidRPr="00FD132E">
        <w:rPr>
          <w:rFonts w:ascii="Times New Roman" w:eastAsia="SimSun" w:hAnsi="Times New Roman" w:cs="Times New Roman"/>
          <w:color w:val="auto"/>
        </w:rPr>
        <w:t>ASHRAE Diversity Commitment – Chair</w:t>
      </w:r>
    </w:p>
    <w:p w14:paraId="3DB8F74A" w14:textId="7DB450D9" w:rsidR="00B150D7" w:rsidRPr="00FD132E" w:rsidRDefault="00FD132E" w:rsidP="00FD132E">
      <w:pPr>
        <w:pStyle w:val="ListParagraph"/>
        <w:shd w:val="clear" w:color="auto" w:fill="FFFFFF"/>
        <w:spacing w:after="100" w:afterAutospacing="1"/>
        <w:ind w:left="360"/>
      </w:pPr>
      <w:r w:rsidRPr="00FD132E">
        <w:t xml:space="preserve">ASHRAE is committed to providing a welcoming environment. Our culture is one of inclusiveness, acknowledging the inherent value and dignity of </w:t>
      </w:r>
      <w:proofErr w:type="gramStart"/>
      <w:r w:rsidRPr="00FD132E">
        <w:t>each individual</w:t>
      </w:r>
      <w:proofErr w:type="gramEnd"/>
      <w:r w:rsidRPr="00FD132E">
        <w:t xml:space="preserve">. We proactively pursue and celebrate diverse and inclusive communities understanding that doing so fuels better, more </w:t>
      </w:r>
      <w:proofErr w:type="gramStart"/>
      <w:r w:rsidRPr="00FD132E">
        <w:t>creative</w:t>
      </w:r>
      <w:proofErr w:type="gramEnd"/>
      <w:r w:rsidRPr="00FD132E">
        <w:t xml:space="preserve"> and more thoughtful ideas, solutions and strategies for the </w:t>
      </w:r>
      <w:r w:rsidRPr="00FD132E">
        <w:lastRenderedPageBreak/>
        <w:t xml:space="preserve">Society and for the communities our Society serves. We respect and welcome all people regardless of age, gender, ethnicity, physical appearance, thought styles, religion, nationality, socio-economic status, belief systems, sexual </w:t>
      </w:r>
      <w:proofErr w:type="gramStart"/>
      <w:r w:rsidRPr="00FD132E">
        <w:t>orientation</w:t>
      </w:r>
      <w:proofErr w:type="gramEnd"/>
      <w:r w:rsidRPr="00FD132E">
        <w:t xml:space="preserve"> or education.</w:t>
      </w:r>
    </w:p>
    <w:p w14:paraId="08453CAF" w14:textId="2679A6BA" w:rsidR="00D34045" w:rsidRDefault="00B150D7" w:rsidP="00796630">
      <w:pPr>
        <w:numPr>
          <w:ilvl w:val="0"/>
          <w:numId w:val="9"/>
        </w:numPr>
        <w:spacing w:line="240" w:lineRule="exact"/>
        <w:ind w:right="-720"/>
      </w:pPr>
      <w:r w:rsidRPr="001F3336">
        <w:t xml:space="preserve">Approval of </w:t>
      </w:r>
      <w:r w:rsidR="00CF1D78">
        <w:t xml:space="preserve">Hybrid </w:t>
      </w:r>
      <w:r w:rsidR="00015E9F">
        <w:t>Toronto</w:t>
      </w:r>
      <w:r w:rsidR="00535B24">
        <w:t xml:space="preserve"> </w:t>
      </w:r>
      <w:r w:rsidR="00015E9F">
        <w:t xml:space="preserve">Annual </w:t>
      </w:r>
      <w:r w:rsidR="00535B24">
        <w:t>202</w:t>
      </w:r>
      <w:r w:rsidR="00D00423">
        <w:t>2</w:t>
      </w:r>
      <w:r w:rsidR="00CF4E9F">
        <w:t xml:space="preserve"> Meeting</w:t>
      </w:r>
      <w:r w:rsidRPr="001F3336">
        <w:t xml:space="preserve"> Minutes</w:t>
      </w:r>
      <w:r w:rsidR="00535B24">
        <w:t xml:space="preserve"> (</w:t>
      </w:r>
      <w:r w:rsidR="00015E9F">
        <w:t>Tues</w:t>
      </w:r>
      <w:r w:rsidR="00961B68">
        <w:t xml:space="preserve">., </w:t>
      </w:r>
      <w:r w:rsidR="00015E9F">
        <w:t>June</w:t>
      </w:r>
      <w:r w:rsidR="00961B68">
        <w:t xml:space="preserve"> </w:t>
      </w:r>
      <w:r w:rsidR="00015E9F">
        <w:t>28</w:t>
      </w:r>
      <w:r w:rsidR="00961B68">
        <w:t>,</w:t>
      </w:r>
      <w:r w:rsidR="00D34045">
        <w:t xml:space="preserve"> </w:t>
      </w:r>
      <w:r w:rsidR="00535B24">
        <w:t>202</w:t>
      </w:r>
      <w:r w:rsidR="00FD132E">
        <w:t>2</w:t>
      </w:r>
      <w:r w:rsidR="001A73ED">
        <w:t>)</w:t>
      </w:r>
    </w:p>
    <w:p w14:paraId="3BD374D8" w14:textId="3A365EB5" w:rsidR="002338C8" w:rsidRDefault="002338C8" w:rsidP="002338C8">
      <w:pPr>
        <w:spacing w:line="240" w:lineRule="exact"/>
        <w:ind w:right="-720"/>
      </w:pPr>
    </w:p>
    <w:p w14:paraId="52DC103B" w14:textId="712B7473" w:rsidR="002338C8" w:rsidRPr="00CF005A" w:rsidRDefault="00CF005A" w:rsidP="00CF005A">
      <w:pPr>
        <w:pStyle w:val="ListParagraph"/>
        <w:numPr>
          <w:ilvl w:val="0"/>
          <w:numId w:val="9"/>
        </w:numPr>
        <w:spacing w:line="240" w:lineRule="exact"/>
        <w:ind w:right="-720"/>
      </w:pPr>
      <w:r>
        <w:t xml:space="preserve">Vote to continue with </w:t>
      </w:r>
      <w:r w:rsidRPr="00FD132E">
        <w:rPr>
          <w:i/>
          <w:iCs/>
        </w:rPr>
        <w:t>TC 2.10 Resilience and Security</w:t>
      </w:r>
    </w:p>
    <w:p w14:paraId="53E1C8E2" w14:textId="17E47705" w:rsidR="00AD307E" w:rsidRDefault="00AD307E" w:rsidP="000702A8">
      <w:pPr>
        <w:spacing w:line="240" w:lineRule="exact"/>
        <w:ind w:right="-720"/>
      </w:pPr>
    </w:p>
    <w:p w14:paraId="4A9A51B6" w14:textId="77777777" w:rsidR="00B150D7" w:rsidRPr="001F3336" w:rsidRDefault="00B150D7" w:rsidP="00B150D7">
      <w:pPr>
        <w:spacing w:line="240" w:lineRule="exact"/>
        <w:ind w:right="-720"/>
      </w:pPr>
    </w:p>
    <w:p w14:paraId="5DC85F80" w14:textId="4C285D9B" w:rsidR="00B150D7" w:rsidRDefault="00B150D7" w:rsidP="00B150D7">
      <w:pPr>
        <w:numPr>
          <w:ilvl w:val="0"/>
          <w:numId w:val="9"/>
        </w:numPr>
        <w:spacing w:line="240" w:lineRule="exact"/>
        <w:ind w:left="720" w:right="-720" w:hanging="720"/>
      </w:pPr>
      <w:r w:rsidRPr="001F3336">
        <w:t>Announcements</w:t>
      </w:r>
      <w:r w:rsidR="004A74F6">
        <w:t>-Chair</w:t>
      </w:r>
    </w:p>
    <w:p w14:paraId="28E77067" w14:textId="2D712318" w:rsidR="00CF4E9F" w:rsidRDefault="00A60E7A" w:rsidP="00C53B00">
      <w:pPr>
        <w:numPr>
          <w:ilvl w:val="1"/>
          <w:numId w:val="9"/>
        </w:numPr>
        <w:spacing w:line="240" w:lineRule="exact"/>
        <w:ind w:right="-720"/>
      </w:pPr>
      <w:r>
        <w:t>Chair breakfast meeting and other ongoing activities</w:t>
      </w:r>
      <w:r w:rsidR="00CF4E9F">
        <w:t xml:space="preserve"> (</w:t>
      </w:r>
      <w:hyperlink r:id="rId10" w:history="1">
        <w:r w:rsidR="00CF4E9F" w:rsidRPr="00737964">
          <w:rPr>
            <w:rStyle w:val="Hyperlink"/>
          </w:rPr>
          <w:t>asktac@ashrae.org</w:t>
        </w:r>
      </w:hyperlink>
      <w:r w:rsidR="00CF4E9F">
        <w:t>)</w:t>
      </w:r>
    </w:p>
    <w:p w14:paraId="64E66BCF" w14:textId="3C7C26A0" w:rsidR="00D00423" w:rsidRDefault="00D00423" w:rsidP="00B150D7">
      <w:pPr>
        <w:numPr>
          <w:ilvl w:val="1"/>
          <w:numId w:val="9"/>
        </w:numPr>
        <w:spacing w:line="240" w:lineRule="exact"/>
        <w:ind w:right="-720"/>
      </w:pPr>
      <w:r>
        <w:t>Research breakfast meeting</w:t>
      </w:r>
    </w:p>
    <w:p w14:paraId="01E2A63D" w14:textId="6392019D" w:rsidR="00D00423" w:rsidRDefault="00D00423" w:rsidP="00B150D7">
      <w:pPr>
        <w:numPr>
          <w:ilvl w:val="1"/>
          <w:numId w:val="9"/>
        </w:numPr>
        <w:spacing w:line="240" w:lineRule="exact"/>
        <w:ind w:right="-720"/>
      </w:pPr>
      <w:r>
        <w:t>Chair and Vice Chair Training meeting</w:t>
      </w:r>
    </w:p>
    <w:p w14:paraId="7354DE64" w14:textId="0AB5123F" w:rsidR="000D0141" w:rsidRDefault="000D0141" w:rsidP="00B150D7">
      <w:pPr>
        <w:numPr>
          <w:ilvl w:val="1"/>
          <w:numId w:val="9"/>
        </w:numPr>
        <w:spacing w:line="240" w:lineRule="exact"/>
        <w:ind w:right="-720"/>
      </w:pPr>
      <w:r>
        <w:t>Handbook Chairs Meeting</w:t>
      </w:r>
    </w:p>
    <w:p w14:paraId="2038ECD0" w14:textId="5A326A67" w:rsidR="00D00423" w:rsidRDefault="00D00423" w:rsidP="00B150D7">
      <w:pPr>
        <w:numPr>
          <w:ilvl w:val="1"/>
          <w:numId w:val="9"/>
        </w:numPr>
        <w:spacing w:line="240" w:lineRule="exact"/>
        <w:ind w:right="-720"/>
      </w:pPr>
      <w:r>
        <w:t>Programs Training meeting</w:t>
      </w:r>
    </w:p>
    <w:p w14:paraId="5B28CA48" w14:textId="56906479" w:rsidR="00896519" w:rsidRDefault="00896519" w:rsidP="00B150D7">
      <w:pPr>
        <w:numPr>
          <w:ilvl w:val="1"/>
          <w:numId w:val="9"/>
        </w:numPr>
        <w:spacing w:line="240" w:lineRule="exact"/>
        <w:ind w:right="-720"/>
      </w:pPr>
      <w:r>
        <w:t>Develop a succession plan for the TC’s future leadership (e.g., ladder: handbook, secretary, vice chair, chair)</w:t>
      </w:r>
    </w:p>
    <w:p w14:paraId="2C5BEC7F" w14:textId="77777777" w:rsidR="00B150D7" w:rsidRDefault="00B150D7" w:rsidP="00B150D7">
      <w:pPr>
        <w:spacing w:line="240" w:lineRule="exact"/>
        <w:ind w:right="-720"/>
      </w:pPr>
    </w:p>
    <w:p w14:paraId="5D8C9C7A" w14:textId="129D88C6" w:rsidR="00B150D7" w:rsidRDefault="00A94FB5" w:rsidP="00B150D7">
      <w:pPr>
        <w:numPr>
          <w:ilvl w:val="0"/>
          <w:numId w:val="9"/>
        </w:numPr>
        <w:spacing w:line="240" w:lineRule="exact"/>
        <w:ind w:right="-720"/>
      </w:pPr>
      <w:r>
        <w:t xml:space="preserve">Liaison Reports: </w:t>
      </w:r>
    </w:p>
    <w:p w14:paraId="4094D8A4" w14:textId="6108D633" w:rsidR="002F4E32" w:rsidRDefault="002F4E32" w:rsidP="002F4E32">
      <w:pPr>
        <w:spacing w:line="240" w:lineRule="exact"/>
        <w:ind w:left="360" w:right="-720"/>
      </w:pPr>
      <w:r>
        <w:t>-MTG-RES</w:t>
      </w:r>
    </w:p>
    <w:p w14:paraId="2B0E51F3" w14:textId="3465FCA9" w:rsidR="002F4E32" w:rsidRDefault="002F4E32" w:rsidP="002F4E32">
      <w:pPr>
        <w:spacing w:line="240" w:lineRule="exact"/>
        <w:ind w:left="360" w:right="-720"/>
      </w:pPr>
      <w:r>
        <w:t>-MTG-CYB</w:t>
      </w:r>
    </w:p>
    <w:p w14:paraId="479AB57D" w14:textId="327C1360" w:rsidR="00302E23" w:rsidRDefault="00302E23" w:rsidP="002F4E32">
      <w:pPr>
        <w:spacing w:line="240" w:lineRule="exact"/>
        <w:ind w:left="360" w:right="-720"/>
      </w:pPr>
      <w:r>
        <w:t>-TC 2.5</w:t>
      </w:r>
    </w:p>
    <w:p w14:paraId="66A1D017" w14:textId="2C5747B3" w:rsidR="002F4E32" w:rsidRDefault="002F4E32" w:rsidP="002F4E32">
      <w:pPr>
        <w:spacing w:line="240" w:lineRule="exact"/>
        <w:ind w:left="360" w:right="-720"/>
      </w:pPr>
      <w:r>
        <w:t>-TC 2.</w:t>
      </w:r>
      <w:r w:rsidR="00033DB1">
        <w:t>7</w:t>
      </w:r>
    </w:p>
    <w:p w14:paraId="18042D65" w14:textId="48AB7260" w:rsidR="00033DB1" w:rsidRDefault="00033DB1" w:rsidP="00033DB1">
      <w:pPr>
        <w:spacing w:line="240" w:lineRule="exact"/>
        <w:ind w:left="360" w:right="-720"/>
      </w:pPr>
      <w:r>
        <w:t>-TC 2.9</w:t>
      </w:r>
    </w:p>
    <w:p w14:paraId="26AD41E8" w14:textId="2A247A9C" w:rsidR="002F4E32" w:rsidRDefault="002F4E32" w:rsidP="002F4E32">
      <w:pPr>
        <w:spacing w:line="240" w:lineRule="exact"/>
        <w:ind w:left="360" w:right="-720"/>
      </w:pPr>
      <w:r>
        <w:t>-TC 4.7</w:t>
      </w:r>
    </w:p>
    <w:p w14:paraId="548087F0" w14:textId="4D9BECD8" w:rsidR="00961B68" w:rsidRPr="001F3336" w:rsidRDefault="00961B68" w:rsidP="002F4E32">
      <w:pPr>
        <w:spacing w:line="240" w:lineRule="exact"/>
        <w:ind w:left="360" w:right="-720"/>
      </w:pPr>
      <w:r>
        <w:t>-Others</w:t>
      </w:r>
    </w:p>
    <w:p w14:paraId="765BD413" w14:textId="77777777" w:rsidR="00B150D7" w:rsidRPr="001F3336" w:rsidRDefault="00B150D7" w:rsidP="00B150D7"/>
    <w:p w14:paraId="3BE3E25A" w14:textId="72FF4C8C" w:rsidR="00B150D7" w:rsidRDefault="00BE04AE" w:rsidP="00B150D7">
      <w:pPr>
        <w:numPr>
          <w:ilvl w:val="0"/>
          <w:numId w:val="9"/>
        </w:numPr>
        <w:spacing w:line="240" w:lineRule="exact"/>
        <w:ind w:right="-720"/>
      </w:pPr>
      <w:r>
        <w:t xml:space="preserve">Standards </w:t>
      </w:r>
      <w:r w:rsidR="004F191E">
        <w:t xml:space="preserve">and Research </w:t>
      </w:r>
      <w:r>
        <w:t>Subcommittee</w:t>
      </w:r>
      <w:r w:rsidR="002C791B">
        <w:t>s</w:t>
      </w:r>
      <w:r>
        <w:t xml:space="preserve"> </w:t>
      </w:r>
      <w:r w:rsidR="00627C30">
        <w:t xml:space="preserve">Report </w:t>
      </w:r>
      <w:r>
        <w:t>(</w:t>
      </w:r>
      <w:r w:rsidR="003A37BB">
        <w:t>Steven Sill</w:t>
      </w:r>
      <w:r w:rsidR="00B150D7" w:rsidRPr="001F3336">
        <w:t>)</w:t>
      </w:r>
    </w:p>
    <w:p w14:paraId="28A38751" w14:textId="77777777" w:rsidR="00BE04AE" w:rsidRDefault="00BE04AE" w:rsidP="00BE04AE">
      <w:pPr>
        <w:pStyle w:val="ListParagraph"/>
      </w:pPr>
    </w:p>
    <w:p w14:paraId="248AEDF8" w14:textId="412A69D7" w:rsidR="00BE04AE" w:rsidRPr="001F3336" w:rsidRDefault="00BE04AE" w:rsidP="00BE04AE">
      <w:pPr>
        <w:numPr>
          <w:ilvl w:val="0"/>
          <w:numId w:val="9"/>
        </w:numPr>
        <w:spacing w:line="240" w:lineRule="exact"/>
        <w:ind w:right="-720"/>
      </w:pPr>
      <w:r>
        <w:t xml:space="preserve">Programs </w:t>
      </w:r>
      <w:r w:rsidR="002C791B" w:rsidRPr="001F3336">
        <w:t xml:space="preserve">Subcommittee </w:t>
      </w:r>
      <w:r w:rsidR="002C791B">
        <w:t xml:space="preserve">Report </w:t>
      </w:r>
      <w:r>
        <w:t>(Jason DeGraw</w:t>
      </w:r>
      <w:r w:rsidRPr="001F3336">
        <w:t>)</w:t>
      </w:r>
    </w:p>
    <w:p w14:paraId="306F5D81" w14:textId="77777777" w:rsidR="00B150D7" w:rsidRPr="001F3336" w:rsidRDefault="00B150D7" w:rsidP="00B150D7">
      <w:pPr>
        <w:spacing w:line="240" w:lineRule="exact"/>
        <w:ind w:right="-720"/>
      </w:pPr>
    </w:p>
    <w:p w14:paraId="3B62EA4A" w14:textId="2B88FBA3" w:rsidR="00B150D7" w:rsidRPr="001F3336" w:rsidRDefault="00BE04AE" w:rsidP="00B150D7">
      <w:pPr>
        <w:numPr>
          <w:ilvl w:val="0"/>
          <w:numId w:val="9"/>
        </w:numPr>
        <w:spacing w:line="240" w:lineRule="exact"/>
        <w:ind w:right="-720"/>
      </w:pPr>
      <w:r>
        <w:t>Handbook</w:t>
      </w:r>
      <w:r w:rsidR="00B150D7" w:rsidRPr="001F3336">
        <w:t xml:space="preserve"> </w:t>
      </w:r>
      <w:r w:rsidR="002C791B" w:rsidRPr="001F3336">
        <w:t xml:space="preserve">Subcommittee </w:t>
      </w:r>
      <w:r w:rsidR="002C791B">
        <w:t xml:space="preserve">Report </w:t>
      </w:r>
      <w:r w:rsidR="00B150D7" w:rsidRPr="001F3336">
        <w:t>(</w:t>
      </w:r>
      <w:r w:rsidR="00B371D9">
        <w:t>David E</w:t>
      </w:r>
      <w:r>
        <w:t>vers)</w:t>
      </w:r>
    </w:p>
    <w:p w14:paraId="1BA09DD3" w14:textId="77777777" w:rsidR="00B150D7" w:rsidRPr="001F3336" w:rsidRDefault="00B150D7" w:rsidP="0021351E"/>
    <w:p w14:paraId="7BD35D99" w14:textId="518BE934" w:rsidR="00B150D7" w:rsidRDefault="00796630" w:rsidP="00B150D7">
      <w:pPr>
        <w:numPr>
          <w:ilvl w:val="0"/>
          <w:numId w:val="9"/>
        </w:numPr>
        <w:spacing w:line="240" w:lineRule="exact"/>
        <w:ind w:right="-720"/>
      </w:pPr>
      <w:r>
        <w:t>MTG.RES</w:t>
      </w:r>
      <w:r w:rsidR="00B150D7" w:rsidRPr="001F3336">
        <w:t xml:space="preserve"> </w:t>
      </w:r>
      <w:r w:rsidR="002C791B">
        <w:t xml:space="preserve">Report </w:t>
      </w:r>
      <w:r w:rsidR="00B150D7" w:rsidRPr="001F3336">
        <w:t>(</w:t>
      </w:r>
      <w:r w:rsidR="00BE04AE">
        <w:t>Scott Campbell</w:t>
      </w:r>
      <w:r w:rsidR="00B150D7" w:rsidRPr="001F3336">
        <w:t>)</w:t>
      </w:r>
    </w:p>
    <w:p w14:paraId="23C363D3" w14:textId="77777777" w:rsidR="00535B24" w:rsidRDefault="00535B24" w:rsidP="00535B24">
      <w:pPr>
        <w:pStyle w:val="ListParagraph"/>
      </w:pPr>
    </w:p>
    <w:p w14:paraId="69285F4F" w14:textId="11736A0D" w:rsidR="00535B24" w:rsidRDefault="00535B24" w:rsidP="00535B24">
      <w:pPr>
        <w:numPr>
          <w:ilvl w:val="0"/>
          <w:numId w:val="9"/>
        </w:numPr>
        <w:spacing w:line="240" w:lineRule="exact"/>
        <w:ind w:right="-720"/>
      </w:pPr>
      <w:r>
        <w:t>Honors and Awards</w:t>
      </w:r>
      <w:r w:rsidRPr="001F3336">
        <w:t xml:space="preserve"> Subcommittee </w:t>
      </w:r>
      <w:r w:rsidR="002C791B">
        <w:t xml:space="preserve">Report </w:t>
      </w:r>
      <w:r w:rsidRPr="001F3336">
        <w:t>(</w:t>
      </w:r>
      <w:r w:rsidR="00796630">
        <w:t>Haven Cassidy</w:t>
      </w:r>
      <w:r w:rsidRPr="001F3336">
        <w:t>)</w:t>
      </w:r>
    </w:p>
    <w:p w14:paraId="5901519D" w14:textId="77777777" w:rsidR="00B150D7" w:rsidRPr="001F3336" w:rsidRDefault="00B150D7" w:rsidP="00B150D7">
      <w:pPr>
        <w:spacing w:line="240" w:lineRule="exact"/>
        <w:ind w:right="-720"/>
      </w:pPr>
    </w:p>
    <w:p w14:paraId="22A4D31F" w14:textId="5FDB895F" w:rsidR="00B150D7" w:rsidRDefault="001B7632" w:rsidP="00B150D7">
      <w:pPr>
        <w:numPr>
          <w:ilvl w:val="0"/>
          <w:numId w:val="9"/>
        </w:numPr>
        <w:spacing w:line="240" w:lineRule="exact"/>
        <w:ind w:right="-720"/>
      </w:pPr>
      <w:r>
        <w:t xml:space="preserve">Web Page </w:t>
      </w:r>
      <w:r w:rsidR="00AE2B85">
        <w:t xml:space="preserve">and Webmaster </w:t>
      </w:r>
      <w:r w:rsidR="002C791B">
        <w:t xml:space="preserve">Report </w:t>
      </w:r>
      <w:r>
        <w:t>(Carol Lomonaco</w:t>
      </w:r>
      <w:r w:rsidR="00B150D7" w:rsidRPr="001F3336">
        <w:t>)</w:t>
      </w:r>
    </w:p>
    <w:p w14:paraId="087974B5" w14:textId="77777777" w:rsidR="00065705" w:rsidRDefault="00065705" w:rsidP="00065705">
      <w:pPr>
        <w:pStyle w:val="ListParagraph"/>
      </w:pPr>
    </w:p>
    <w:p w14:paraId="0431E060" w14:textId="3D276092" w:rsidR="00065705" w:rsidRPr="001F3336" w:rsidRDefault="00065705" w:rsidP="00B150D7">
      <w:pPr>
        <w:numPr>
          <w:ilvl w:val="0"/>
          <w:numId w:val="9"/>
        </w:numPr>
        <w:spacing w:line="240" w:lineRule="exact"/>
        <w:ind w:right="-720"/>
      </w:pPr>
      <w:r>
        <w:t>TC 2.10</w:t>
      </w:r>
      <w:r w:rsidRPr="00065705">
        <w:t xml:space="preserve"> Activity-Form (v20-D6)</w:t>
      </w:r>
      <w:r>
        <w:t xml:space="preserve"> </w:t>
      </w:r>
      <w:r w:rsidR="00260F21">
        <w:t>(Anthony York</w:t>
      </w:r>
      <w:r>
        <w:t>)</w:t>
      </w:r>
    </w:p>
    <w:p w14:paraId="284412FF" w14:textId="77777777" w:rsidR="00B150D7" w:rsidRPr="001F3336" w:rsidRDefault="00B150D7" w:rsidP="00B150D7">
      <w:pPr>
        <w:spacing w:line="240" w:lineRule="exact"/>
        <w:ind w:right="-720"/>
      </w:pPr>
    </w:p>
    <w:p w14:paraId="2338FAD6" w14:textId="5080D63C" w:rsidR="00065705" w:rsidRDefault="00B150D7" w:rsidP="00065705">
      <w:pPr>
        <w:numPr>
          <w:ilvl w:val="0"/>
          <w:numId w:val="9"/>
        </w:numPr>
        <w:spacing w:line="240" w:lineRule="exact"/>
        <w:ind w:right="-720"/>
      </w:pPr>
      <w:r w:rsidRPr="001F3336">
        <w:t>Old Business</w:t>
      </w:r>
    </w:p>
    <w:p w14:paraId="5BFBA2D5" w14:textId="0C77EA87" w:rsidR="00065705" w:rsidRDefault="00065705" w:rsidP="00065705">
      <w:pPr>
        <w:pStyle w:val="ListParagraph"/>
        <w:numPr>
          <w:ilvl w:val="2"/>
          <w:numId w:val="9"/>
        </w:numPr>
        <w:ind w:left="1080"/>
        <w:contextualSpacing w:val="0"/>
      </w:pPr>
      <w:r>
        <w:t xml:space="preserve">TC 2.10 has had a </w:t>
      </w:r>
      <w:proofErr w:type="spellStart"/>
      <w:r>
        <w:t>BaseCamp</w:t>
      </w:r>
      <w:proofErr w:type="spellEnd"/>
      <w:r>
        <w:t xml:space="preserve"> for members and CMs</w:t>
      </w:r>
    </w:p>
    <w:p w14:paraId="6F6D008D" w14:textId="3E03C364" w:rsidR="00065705" w:rsidRDefault="00065705" w:rsidP="00065705">
      <w:pPr>
        <w:pStyle w:val="ListParagraph"/>
        <w:numPr>
          <w:ilvl w:val="2"/>
          <w:numId w:val="9"/>
        </w:numPr>
        <w:ind w:left="1080"/>
        <w:contextualSpacing w:val="0"/>
      </w:pPr>
      <w:r>
        <w:t xml:space="preserve">TC 2.10 has had a private </w:t>
      </w:r>
      <w:proofErr w:type="spellStart"/>
      <w:r>
        <w:t>BaseCamp</w:t>
      </w:r>
      <w:proofErr w:type="spellEnd"/>
      <w:r w:rsidR="00260F21">
        <w:t xml:space="preserve"> for Honors and Awards (Haven Cassidy)</w:t>
      </w:r>
    </w:p>
    <w:p w14:paraId="07354F89" w14:textId="77777777" w:rsidR="00065705" w:rsidRDefault="00065705" w:rsidP="00065705">
      <w:pPr>
        <w:spacing w:line="240" w:lineRule="exact"/>
        <w:ind w:left="1080" w:right="-720"/>
      </w:pPr>
    </w:p>
    <w:p w14:paraId="77E773AC" w14:textId="77777777" w:rsidR="001B7632" w:rsidRPr="001F3336" w:rsidRDefault="001B7632" w:rsidP="00A070C2">
      <w:pPr>
        <w:spacing w:line="240" w:lineRule="exact"/>
        <w:ind w:right="-720"/>
      </w:pPr>
    </w:p>
    <w:p w14:paraId="7466D377" w14:textId="7EE64AEB" w:rsidR="001B7632" w:rsidRDefault="00B150D7" w:rsidP="00535B24">
      <w:pPr>
        <w:numPr>
          <w:ilvl w:val="0"/>
          <w:numId w:val="9"/>
        </w:numPr>
        <w:spacing w:line="240" w:lineRule="exact"/>
        <w:ind w:right="-720"/>
      </w:pPr>
      <w:r w:rsidRPr="001F3336">
        <w:t>New Business</w:t>
      </w:r>
    </w:p>
    <w:p w14:paraId="4F1E062E" w14:textId="3080C701" w:rsidR="00A070C2" w:rsidRDefault="00A070C2" w:rsidP="001B7632">
      <w:pPr>
        <w:pStyle w:val="ListParagraph"/>
        <w:numPr>
          <w:ilvl w:val="2"/>
          <w:numId w:val="9"/>
        </w:numPr>
        <w:ind w:left="1080"/>
        <w:contextualSpacing w:val="0"/>
      </w:pPr>
      <w:r>
        <w:t xml:space="preserve">TC 2.10 has a </w:t>
      </w:r>
      <w:proofErr w:type="spellStart"/>
      <w:r>
        <w:t>Base</w:t>
      </w:r>
      <w:r w:rsidR="00DE3C5B">
        <w:t>C</w:t>
      </w:r>
      <w:r>
        <w:t>amp</w:t>
      </w:r>
      <w:proofErr w:type="spellEnd"/>
      <w:r w:rsidR="00351770">
        <w:t xml:space="preserve"> Instructions</w:t>
      </w:r>
      <w:r w:rsidR="000702A8">
        <w:t xml:space="preserve"> and Training</w:t>
      </w:r>
    </w:p>
    <w:p w14:paraId="72499069" w14:textId="6DBBDAF2" w:rsidR="00BA19C0" w:rsidRDefault="00DE3C5B" w:rsidP="001B7632">
      <w:pPr>
        <w:pStyle w:val="ListParagraph"/>
        <w:numPr>
          <w:ilvl w:val="2"/>
          <w:numId w:val="9"/>
        </w:numPr>
        <w:ind w:left="1080"/>
        <w:contextualSpacing w:val="0"/>
      </w:pPr>
      <w:proofErr w:type="spellStart"/>
      <w:r>
        <w:t>BaseCamp</w:t>
      </w:r>
      <w:proofErr w:type="spellEnd"/>
      <w:r>
        <w:t xml:space="preserve"> 3</w:t>
      </w:r>
      <w:r w:rsidR="0094599C">
        <w:t xml:space="preserve"> </w:t>
      </w:r>
      <w:r w:rsidR="00F1070B">
        <w:t>(iPhone Application downloaded</w:t>
      </w:r>
      <w:r w:rsidR="007A19D4">
        <w:t xml:space="preserve"> to access </w:t>
      </w:r>
      <w:proofErr w:type="spellStart"/>
      <w:r w:rsidR="007A19D4">
        <w:t>BaseCamp</w:t>
      </w:r>
      <w:proofErr w:type="spellEnd"/>
      <w:r w:rsidR="007A19D4">
        <w:t xml:space="preserve"> 3</w:t>
      </w:r>
      <w:r w:rsidR="00A700F5">
        <w:t xml:space="preserve"> via iPhone</w:t>
      </w:r>
      <w:r w:rsidR="007A19D4">
        <w:t>)</w:t>
      </w:r>
    </w:p>
    <w:p w14:paraId="4F40FEFF" w14:textId="77777777" w:rsidR="00D976D1" w:rsidRDefault="00351770" w:rsidP="00D976D1">
      <w:pPr>
        <w:pStyle w:val="ListParagraph"/>
        <w:numPr>
          <w:ilvl w:val="2"/>
          <w:numId w:val="9"/>
        </w:numPr>
        <w:ind w:left="1080"/>
        <w:contextualSpacing w:val="0"/>
      </w:pPr>
      <w:r>
        <w:t>New TC 2.10 Voting Members and Officers</w:t>
      </w:r>
    </w:p>
    <w:p w14:paraId="469F6EC1" w14:textId="55D1F2A3" w:rsidR="00D976D1" w:rsidRDefault="004A74F6" w:rsidP="00D976D1">
      <w:pPr>
        <w:pStyle w:val="ListParagraph"/>
        <w:numPr>
          <w:ilvl w:val="2"/>
          <w:numId w:val="9"/>
        </w:numPr>
        <w:ind w:left="1080"/>
        <w:contextualSpacing w:val="0"/>
      </w:pPr>
      <w:hyperlink r:id="rId11" w:history="1">
        <w:r w:rsidR="00D976D1" w:rsidRPr="00737964">
          <w:rPr>
            <w:rStyle w:val="Hyperlink"/>
          </w:rPr>
          <w:t>https://www.ashrae.org/myactivecommittees</w:t>
        </w:r>
      </w:hyperlink>
    </w:p>
    <w:p w14:paraId="1E9D9AB8" w14:textId="77777777" w:rsidR="00D976D1" w:rsidRDefault="00D976D1" w:rsidP="00D976D1">
      <w:pPr>
        <w:pStyle w:val="ListParagraph"/>
        <w:ind w:left="1080"/>
        <w:contextualSpacing w:val="0"/>
      </w:pPr>
    </w:p>
    <w:p w14:paraId="5C1FA1F9" w14:textId="182A020E" w:rsidR="00B150D7" w:rsidRPr="001F3336" w:rsidRDefault="00B150D7" w:rsidP="00D976D1">
      <w:pPr>
        <w:pStyle w:val="ListParagraph"/>
        <w:numPr>
          <w:ilvl w:val="0"/>
          <w:numId w:val="9"/>
        </w:numPr>
        <w:contextualSpacing w:val="0"/>
      </w:pPr>
      <w:r w:rsidRPr="001F3336">
        <w:t>Adjournment</w:t>
      </w:r>
    </w:p>
    <w:p w14:paraId="059C757D" w14:textId="15AF0EF1" w:rsidR="00F3754F" w:rsidRDefault="00F3754F" w:rsidP="00C07907">
      <w:pPr>
        <w:spacing w:line="240" w:lineRule="exact"/>
        <w:ind w:right="-720"/>
        <w:rPr>
          <w:b/>
        </w:rPr>
      </w:pPr>
    </w:p>
    <w:p w14:paraId="77DCFB07" w14:textId="77777777" w:rsidR="002D4F91" w:rsidRDefault="002D4F91" w:rsidP="00C07907">
      <w:pPr>
        <w:spacing w:line="240" w:lineRule="exact"/>
        <w:ind w:right="-720"/>
        <w:rPr>
          <w:b/>
        </w:rPr>
      </w:pPr>
    </w:p>
    <w:sectPr w:rsidR="002D4F91" w:rsidSect="00D3133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799B" w14:textId="77777777" w:rsidR="00800E5B" w:rsidRDefault="00800E5B" w:rsidP="001A6C9C">
      <w:r>
        <w:separator/>
      </w:r>
    </w:p>
  </w:endnote>
  <w:endnote w:type="continuationSeparator" w:id="0">
    <w:p w14:paraId="0DD31307" w14:textId="77777777" w:rsidR="00800E5B" w:rsidRDefault="00800E5B" w:rsidP="001A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22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835FD" w14:textId="7D7F6CD7" w:rsidR="00A11F7E" w:rsidRDefault="00A11F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5BAB4" w14:textId="77777777" w:rsidR="00A11F7E" w:rsidRDefault="00A11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BEA2" w14:textId="77777777" w:rsidR="00800E5B" w:rsidRDefault="00800E5B" w:rsidP="001A6C9C">
      <w:r>
        <w:separator/>
      </w:r>
    </w:p>
  </w:footnote>
  <w:footnote w:type="continuationSeparator" w:id="0">
    <w:p w14:paraId="3B0E2206" w14:textId="77777777" w:rsidR="00800E5B" w:rsidRDefault="00800E5B" w:rsidP="001A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83"/>
    <w:multiLevelType w:val="hybridMultilevel"/>
    <w:tmpl w:val="01960E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2E20140">
      <w:numFmt w:val="bullet"/>
      <w:lvlText w:val="•"/>
      <w:lvlJc w:val="left"/>
      <w:pPr>
        <w:ind w:left="234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3A589B"/>
    <w:multiLevelType w:val="hybridMultilevel"/>
    <w:tmpl w:val="FA3EC65A"/>
    <w:lvl w:ilvl="0" w:tplc="FB548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42B"/>
    <w:multiLevelType w:val="hybridMultilevel"/>
    <w:tmpl w:val="EE24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2D3C"/>
    <w:multiLevelType w:val="hybridMultilevel"/>
    <w:tmpl w:val="404A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16A3"/>
    <w:multiLevelType w:val="hybridMultilevel"/>
    <w:tmpl w:val="5ED8D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145FD2"/>
    <w:multiLevelType w:val="hybridMultilevel"/>
    <w:tmpl w:val="2B70B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79F8"/>
    <w:multiLevelType w:val="hybridMultilevel"/>
    <w:tmpl w:val="C736D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623392"/>
    <w:multiLevelType w:val="hybridMultilevel"/>
    <w:tmpl w:val="ED102758"/>
    <w:lvl w:ilvl="0" w:tplc="A2E476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7017F"/>
    <w:multiLevelType w:val="hybridMultilevel"/>
    <w:tmpl w:val="3AC6171C"/>
    <w:lvl w:ilvl="0" w:tplc="A2E476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96A0D"/>
    <w:multiLevelType w:val="hybridMultilevel"/>
    <w:tmpl w:val="1DFC9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402A"/>
    <w:multiLevelType w:val="hybridMultilevel"/>
    <w:tmpl w:val="8C08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A08B9"/>
    <w:multiLevelType w:val="hybridMultilevel"/>
    <w:tmpl w:val="89C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4487E"/>
    <w:multiLevelType w:val="hybridMultilevel"/>
    <w:tmpl w:val="8AD6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7095E"/>
    <w:multiLevelType w:val="hybridMultilevel"/>
    <w:tmpl w:val="D25A7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TEwMja1MLEwMjFT0lEKTi0uzszPAykwrwUAvRscDCwAAAA="/>
  </w:docVars>
  <w:rsids>
    <w:rsidRoot w:val="00692616"/>
    <w:rsid w:val="00015E9F"/>
    <w:rsid w:val="0003075A"/>
    <w:rsid w:val="00033DB1"/>
    <w:rsid w:val="00065705"/>
    <w:rsid w:val="000702A8"/>
    <w:rsid w:val="000838E6"/>
    <w:rsid w:val="00086558"/>
    <w:rsid w:val="00090411"/>
    <w:rsid w:val="000C4868"/>
    <w:rsid w:val="000D0141"/>
    <w:rsid w:val="00107D17"/>
    <w:rsid w:val="001177D3"/>
    <w:rsid w:val="00164DE3"/>
    <w:rsid w:val="001672C6"/>
    <w:rsid w:val="001A6C9C"/>
    <w:rsid w:val="001A73ED"/>
    <w:rsid w:val="001B7632"/>
    <w:rsid w:val="001D5DD5"/>
    <w:rsid w:val="001E36BE"/>
    <w:rsid w:val="001E3756"/>
    <w:rsid w:val="00207EDA"/>
    <w:rsid w:val="0021351E"/>
    <w:rsid w:val="002274D9"/>
    <w:rsid w:val="002338C8"/>
    <w:rsid w:val="00252DA2"/>
    <w:rsid w:val="0025605B"/>
    <w:rsid w:val="00260F21"/>
    <w:rsid w:val="002B1EAB"/>
    <w:rsid w:val="002C791B"/>
    <w:rsid w:val="002D1587"/>
    <w:rsid w:val="002D4F91"/>
    <w:rsid w:val="002F3110"/>
    <w:rsid w:val="002F4E32"/>
    <w:rsid w:val="00302E23"/>
    <w:rsid w:val="003130B3"/>
    <w:rsid w:val="003468EB"/>
    <w:rsid w:val="00346EBE"/>
    <w:rsid w:val="00351770"/>
    <w:rsid w:val="00354E39"/>
    <w:rsid w:val="0038343F"/>
    <w:rsid w:val="00394A2A"/>
    <w:rsid w:val="003A37BB"/>
    <w:rsid w:val="003B2902"/>
    <w:rsid w:val="003D315C"/>
    <w:rsid w:val="003D359A"/>
    <w:rsid w:val="00410124"/>
    <w:rsid w:val="00411B13"/>
    <w:rsid w:val="00454C51"/>
    <w:rsid w:val="0047757A"/>
    <w:rsid w:val="00483D09"/>
    <w:rsid w:val="004860B1"/>
    <w:rsid w:val="004A74F6"/>
    <w:rsid w:val="004F191E"/>
    <w:rsid w:val="004F4943"/>
    <w:rsid w:val="004F5E36"/>
    <w:rsid w:val="00533192"/>
    <w:rsid w:val="0053323F"/>
    <w:rsid w:val="00533610"/>
    <w:rsid w:val="00535B24"/>
    <w:rsid w:val="005C7061"/>
    <w:rsid w:val="005F0A7C"/>
    <w:rsid w:val="00604854"/>
    <w:rsid w:val="006063E8"/>
    <w:rsid w:val="00622EF3"/>
    <w:rsid w:val="00627C30"/>
    <w:rsid w:val="00632881"/>
    <w:rsid w:val="00636F08"/>
    <w:rsid w:val="00653E39"/>
    <w:rsid w:val="00692616"/>
    <w:rsid w:val="006A0718"/>
    <w:rsid w:val="006A5389"/>
    <w:rsid w:val="006B7566"/>
    <w:rsid w:val="006B7E56"/>
    <w:rsid w:val="006F6778"/>
    <w:rsid w:val="006F78EB"/>
    <w:rsid w:val="00742881"/>
    <w:rsid w:val="0074494A"/>
    <w:rsid w:val="00746066"/>
    <w:rsid w:val="00770B67"/>
    <w:rsid w:val="007755A3"/>
    <w:rsid w:val="00780089"/>
    <w:rsid w:val="00796630"/>
    <w:rsid w:val="007A19D4"/>
    <w:rsid w:val="007A50B5"/>
    <w:rsid w:val="007C682A"/>
    <w:rsid w:val="007E5D3D"/>
    <w:rsid w:val="007E76E6"/>
    <w:rsid w:val="007F2F0C"/>
    <w:rsid w:val="00800E5B"/>
    <w:rsid w:val="0082473E"/>
    <w:rsid w:val="008268F7"/>
    <w:rsid w:val="00840FFC"/>
    <w:rsid w:val="00857B8E"/>
    <w:rsid w:val="00870112"/>
    <w:rsid w:val="00885813"/>
    <w:rsid w:val="00896519"/>
    <w:rsid w:val="008A3EF9"/>
    <w:rsid w:val="008C62AB"/>
    <w:rsid w:val="008D2EBE"/>
    <w:rsid w:val="008E62C9"/>
    <w:rsid w:val="008F658C"/>
    <w:rsid w:val="00903949"/>
    <w:rsid w:val="009434F0"/>
    <w:rsid w:val="0094599C"/>
    <w:rsid w:val="00961B68"/>
    <w:rsid w:val="009D21C9"/>
    <w:rsid w:val="009E1F10"/>
    <w:rsid w:val="009E4029"/>
    <w:rsid w:val="009E5278"/>
    <w:rsid w:val="009F744A"/>
    <w:rsid w:val="00A070C2"/>
    <w:rsid w:val="00A11F7E"/>
    <w:rsid w:val="00A15A4F"/>
    <w:rsid w:val="00A35172"/>
    <w:rsid w:val="00A44A25"/>
    <w:rsid w:val="00A60E7A"/>
    <w:rsid w:val="00A66BDE"/>
    <w:rsid w:val="00A6707C"/>
    <w:rsid w:val="00A700F5"/>
    <w:rsid w:val="00A94FB5"/>
    <w:rsid w:val="00AC63F8"/>
    <w:rsid w:val="00AD307E"/>
    <w:rsid w:val="00AE2B85"/>
    <w:rsid w:val="00B150D7"/>
    <w:rsid w:val="00B15EC9"/>
    <w:rsid w:val="00B371D9"/>
    <w:rsid w:val="00B63623"/>
    <w:rsid w:val="00BA19C0"/>
    <w:rsid w:val="00BC039F"/>
    <w:rsid w:val="00BC7496"/>
    <w:rsid w:val="00BD3ABA"/>
    <w:rsid w:val="00BE04AE"/>
    <w:rsid w:val="00C06A02"/>
    <w:rsid w:val="00C07907"/>
    <w:rsid w:val="00C36793"/>
    <w:rsid w:val="00C42ED1"/>
    <w:rsid w:val="00C53B00"/>
    <w:rsid w:val="00C8708F"/>
    <w:rsid w:val="00CA729C"/>
    <w:rsid w:val="00CD5F88"/>
    <w:rsid w:val="00CF005A"/>
    <w:rsid w:val="00CF1D78"/>
    <w:rsid w:val="00CF4E9F"/>
    <w:rsid w:val="00CF63C3"/>
    <w:rsid w:val="00D00423"/>
    <w:rsid w:val="00D31E01"/>
    <w:rsid w:val="00D34045"/>
    <w:rsid w:val="00D4487D"/>
    <w:rsid w:val="00D6485C"/>
    <w:rsid w:val="00D85808"/>
    <w:rsid w:val="00D900C1"/>
    <w:rsid w:val="00D976D1"/>
    <w:rsid w:val="00DA2117"/>
    <w:rsid w:val="00DB68B4"/>
    <w:rsid w:val="00DE3C5B"/>
    <w:rsid w:val="00DF3035"/>
    <w:rsid w:val="00E019E2"/>
    <w:rsid w:val="00E36545"/>
    <w:rsid w:val="00E461F0"/>
    <w:rsid w:val="00E503DD"/>
    <w:rsid w:val="00E57F33"/>
    <w:rsid w:val="00E64E7C"/>
    <w:rsid w:val="00E8206C"/>
    <w:rsid w:val="00EA1005"/>
    <w:rsid w:val="00EE4AC2"/>
    <w:rsid w:val="00EE7CF1"/>
    <w:rsid w:val="00F05210"/>
    <w:rsid w:val="00F1070B"/>
    <w:rsid w:val="00F13907"/>
    <w:rsid w:val="00F16344"/>
    <w:rsid w:val="00F3754F"/>
    <w:rsid w:val="00F408AD"/>
    <w:rsid w:val="00F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E6571E"/>
  <w15:chartTrackingRefBased/>
  <w15:docId w15:val="{534277B5-5E62-4024-A3CB-24A6BF90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9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C0790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9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31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cent-color">
    <w:name w:val="accent-color"/>
    <w:basedOn w:val="Normal"/>
    <w:rsid w:val="00533192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NormalWeb">
    <w:name w:val="Normal (Web)"/>
    <w:basedOn w:val="Normal"/>
    <w:uiPriority w:val="99"/>
    <w:unhideWhenUsed/>
    <w:rsid w:val="00533192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C87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E36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150D7"/>
    <w:rPr>
      <w:rFonts w:eastAsia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150D7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D4F91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E3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F658C"/>
    <w:rPr>
      <w:b/>
      <w:bCs/>
    </w:rPr>
  </w:style>
  <w:style w:type="character" w:styleId="Emphasis">
    <w:name w:val="Emphasis"/>
    <w:basedOn w:val="DefaultParagraphFont"/>
    <w:uiPriority w:val="20"/>
    <w:qFormat/>
    <w:rsid w:val="008F65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1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F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F7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4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hrae.org/myactivecommitte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ktac@ashra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hrae.org/about-ashrae/ashrae-code-of-eth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E2DE-4B86-4ABB-976C-6195CD88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 Wang</dc:creator>
  <cp:keywords/>
  <dc:description/>
  <cp:lastModifiedBy>Carol Lomonaco</cp:lastModifiedBy>
  <cp:revision>2</cp:revision>
  <dcterms:created xsi:type="dcterms:W3CDTF">2022-07-13T22:45:00Z</dcterms:created>
  <dcterms:modified xsi:type="dcterms:W3CDTF">2022-07-13T22:45:00Z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ification">
    <vt:lpwstr>Internal</vt:lpwstr>
  </property>
  <property fmtid="{D5CDD505-2E9C-101B-9397-08002B2CF9AE}" pid="3" name="MSIP_Label_6be01c0c-f9b3-4dc4-af0b-a82110cc37cd_Enabled">
    <vt:lpwstr>true</vt:lpwstr>
  </property>
  <property fmtid="{D5CDD505-2E9C-101B-9397-08002B2CF9AE}" pid="4" name="MSIP_Label_6be01c0c-f9b3-4dc4-af0b-a82110cc37cd_SetDate">
    <vt:lpwstr>2022-01-05T02:24:47Z</vt:lpwstr>
  </property>
  <property fmtid="{D5CDD505-2E9C-101B-9397-08002B2CF9AE}" pid="5" name="MSIP_Label_6be01c0c-f9b3-4dc4-af0b-a82110cc37cd_Method">
    <vt:lpwstr>Standard</vt:lpwstr>
  </property>
  <property fmtid="{D5CDD505-2E9C-101B-9397-08002B2CF9AE}" pid="6" name="MSIP_Label_6be01c0c-f9b3-4dc4-af0b-a82110cc37cd_Name">
    <vt:lpwstr>6be01c0c-f9b3-4dc4-af0b-a82110cc37cd</vt:lpwstr>
  </property>
  <property fmtid="{D5CDD505-2E9C-101B-9397-08002B2CF9AE}" pid="7" name="MSIP_Label_6be01c0c-f9b3-4dc4-af0b-a82110cc37cd_SiteId">
    <vt:lpwstr>a1f1e214-7ded-45b6-81a1-9e8ae3459641</vt:lpwstr>
  </property>
  <property fmtid="{D5CDD505-2E9C-101B-9397-08002B2CF9AE}" pid="8" name="MSIP_Label_6be01c0c-f9b3-4dc4-af0b-a82110cc37cd_ActionId">
    <vt:lpwstr>de5c4e11-c63c-44e8-b59d-9038b1954d57</vt:lpwstr>
  </property>
  <property fmtid="{D5CDD505-2E9C-101B-9397-08002B2CF9AE}" pid="9" name="MSIP_Label_6be01c0c-f9b3-4dc4-af0b-a82110cc37cd_ContentBits">
    <vt:lpwstr>0</vt:lpwstr>
  </property>
</Properties>
</file>