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6" w:type="dxa"/>
        <w:tblInd w:w="1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7861"/>
      </w:tblGrid>
      <w:tr w:rsidR="00C07907" w14:paraId="39F5A384" w14:textId="77777777" w:rsidTr="00B960E0">
        <w:trPr>
          <w:trHeight w:val="433"/>
        </w:trPr>
        <w:tc>
          <w:tcPr>
            <w:tcW w:w="1575" w:type="dxa"/>
            <w:vMerge w:val="restart"/>
            <w:tcBorders>
              <w:top w:val="nil"/>
            </w:tcBorders>
          </w:tcPr>
          <w:p w14:paraId="51C8678D" w14:textId="77777777" w:rsidR="00C07907" w:rsidRDefault="00C07907" w:rsidP="00B960E0">
            <w:pPr>
              <w:rPr>
                <w:rFonts w:ascii="Arial" w:hAnsi="Arial"/>
              </w:rPr>
            </w:pPr>
            <w:r w:rsidRPr="00E3346A">
              <w:rPr>
                <w:rFonts w:ascii="Arial" w:hAnsi="Arial"/>
                <w:noProof/>
              </w:rPr>
              <w:drawing>
                <wp:inline distT="0" distB="0" distL="0" distR="0" wp14:anchorId="11B78DFC" wp14:editId="49CEB890">
                  <wp:extent cx="971550" cy="666750"/>
                  <wp:effectExtent l="0" t="0" r="0" b="0"/>
                  <wp:docPr id="1" name="Picture 1" descr="logo_ashr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shr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  <w:tcBorders>
              <w:top w:val="nil"/>
            </w:tcBorders>
          </w:tcPr>
          <w:p w14:paraId="103964A4" w14:textId="77777777" w:rsidR="00C07907" w:rsidRDefault="00C07907" w:rsidP="00B960E0">
            <w:pPr>
              <w:ind w:left="-183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DRAFT Agenda</w:t>
            </w:r>
          </w:p>
          <w:p w14:paraId="04D6A7F2" w14:textId="77777777" w:rsidR="00C07907" w:rsidRDefault="00C07907" w:rsidP="00B960E0">
            <w:pPr>
              <w:ind w:left="-1830"/>
              <w:rPr>
                <w:rFonts w:ascii="Arial" w:hAnsi="Arial"/>
              </w:rPr>
            </w:pPr>
          </w:p>
        </w:tc>
      </w:tr>
      <w:tr w:rsidR="00C07907" w14:paraId="2CEC6654" w14:textId="77777777" w:rsidTr="00B960E0">
        <w:trPr>
          <w:trHeight w:val="791"/>
        </w:trPr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1F8EC610" w14:textId="77777777" w:rsidR="00C07907" w:rsidRDefault="00C07907" w:rsidP="00B960E0">
            <w:pPr>
              <w:rPr>
                <w:rFonts w:ascii="Arial" w:hAnsi="Arial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435115C0" w14:textId="77777777" w:rsidR="00C07907" w:rsidRPr="00B470FE" w:rsidRDefault="00C07907" w:rsidP="00B960E0">
            <w:pPr>
              <w:pStyle w:val="Heading4"/>
              <w:ind w:left="-1830"/>
              <w:jc w:val="center"/>
              <w:rPr>
                <w:rFonts w:ascii="Arial" w:hAnsi="Arial"/>
              </w:rPr>
            </w:pPr>
            <w:r w:rsidRPr="00B470FE">
              <w:rPr>
                <w:rFonts w:ascii="Arial" w:hAnsi="Arial"/>
              </w:rPr>
              <w:t>TC 7.5</w:t>
            </w:r>
            <w:r>
              <w:rPr>
                <w:rFonts w:ascii="Arial" w:hAnsi="Arial"/>
              </w:rPr>
              <w:t xml:space="preserve"> Fault Detection and Diagnostics</w:t>
            </w:r>
          </w:p>
          <w:p w14:paraId="18BC3A99" w14:textId="4C5690D2" w:rsidR="00C07907" w:rsidRDefault="006A0718" w:rsidP="00B960E0">
            <w:pPr>
              <w:ind w:left="-183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zh-CN"/>
              </w:rPr>
              <w:t>3:</w:t>
            </w:r>
            <w:r>
              <w:rPr>
                <w:rFonts w:ascii="Arial" w:hAnsi="Arial"/>
                <w:lang w:eastAsia="zh-CN"/>
              </w:rPr>
              <w:t>00</w:t>
            </w:r>
            <w:r w:rsidR="00C07907">
              <w:rPr>
                <w:rFonts w:ascii="Arial" w:hAnsi="Arial"/>
              </w:rPr>
              <w:t>-3:</w:t>
            </w:r>
            <w:r>
              <w:rPr>
                <w:rFonts w:ascii="Arial" w:hAnsi="Arial"/>
              </w:rPr>
              <w:t>45</w:t>
            </w:r>
            <w:r w:rsidR="00C07907">
              <w:rPr>
                <w:rFonts w:ascii="Arial" w:hAnsi="Arial"/>
              </w:rPr>
              <w:t xml:space="preserve"> pm</w:t>
            </w:r>
            <w:r w:rsidR="007A46AB">
              <w:rPr>
                <w:rFonts w:ascii="Arial" w:hAnsi="Arial"/>
              </w:rPr>
              <w:t xml:space="preserve"> (EDT)</w:t>
            </w:r>
            <w:r w:rsidR="00C07907">
              <w:rPr>
                <w:rFonts w:ascii="Arial" w:hAnsi="Arial"/>
              </w:rPr>
              <w:t xml:space="preserve">, </w:t>
            </w:r>
            <w:r w:rsidR="007A46AB">
              <w:rPr>
                <w:rFonts w:ascii="Arial" w:hAnsi="Arial"/>
              </w:rPr>
              <w:t>Wednesday</w:t>
            </w:r>
            <w:r w:rsidR="00C07907">
              <w:rPr>
                <w:rFonts w:ascii="Arial" w:hAnsi="Arial"/>
              </w:rPr>
              <w:t xml:space="preserve">, </w:t>
            </w:r>
            <w:r w:rsidR="007A46AB">
              <w:rPr>
                <w:rFonts w:ascii="Arial" w:hAnsi="Arial"/>
              </w:rPr>
              <w:t>June 17</w:t>
            </w:r>
            <w:r>
              <w:rPr>
                <w:rFonts w:ascii="Arial" w:hAnsi="Arial"/>
              </w:rPr>
              <w:t>, 2020</w:t>
            </w:r>
          </w:p>
          <w:p w14:paraId="76B7389F" w14:textId="00668839" w:rsidR="009F539C" w:rsidRPr="009F539C" w:rsidRDefault="00A67FEE" w:rsidP="009F539C">
            <w:pPr>
              <w:rPr>
                <w:sz w:val="22"/>
                <w:szCs w:val="22"/>
              </w:rPr>
            </w:pPr>
            <w:hyperlink r:id="rId8" w:history="1">
              <w:r w:rsidR="009F539C" w:rsidRPr="009F539C">
                <w:rPr>
                  <w:rStyle w:val="Hyperlink"/>
                  <w:sz w:val="22"/>
                  <w:szCs w:val="22"/>
                </w:rPr>
                <w:t>https://zoom.us/j/94940656350?pwd=WG9kYnF0bkdrY2NyZThTdE0yL3lmQT09</w:t>
              </w:r>
            </w:hyperlink>
          </w:p>
          <w:p w14:paraId="2FFE99F7" w14:textId="77777777" w:rsidR="009F539C" w:rsidRDefault="009F539C" w:rsidP="00B960E0">
            <w:pPr>
              <w:ind w:left="-1830"/>
              <w:jc w:val="center"/>
              <w:rPr>
                <w:rFonts w:ascii="Arial" w:hAnsi="Arial"/>
              </w:rPr>
            </w:pPr>
          </w:p>
          <w:p w14:paraId="3C7B28E6" w14:textId="77777777" w:rsidR="00533192" w:rsidRDefault="00533192" w:rsidP="00B960E0">
            <w:pPr>
              <w:ind w:left="-1830"/>
              <w:jc w:val="center"/>
              <w:rPr>
                <w:rFonts w:ascii="Arial" w:hAnsi="Arial"/>
              </w:rPr>
            </w:pPr>
          </w:p>
          <w:p w14:paraId="6AFAA72D" w14:textId="3E4D7BC9" w:rsidR="00C07907" w:rsidRDefault="00C07907" w:rsidP="00533192">
            <w:pPr>
              <w:ind w:left="-1830"/>
              <w:jc w:val="center"/>
              <w:rPr>
                <w:rFonts w:ascii="Arial" w:hAnsi="Arial"/>
              </w:rPr>
            </w:pPr>
            <w:r w:rsidRPr="00CB4858">
              <w:rPr>
                <w:b/>
                <w:sz w:val="22"/>
                <w:szCs w:val="22"/>
              </w:rPr>
              <w:t>Prepared by Liping Wang</w:t>
            </w:r>
          </w:p>
        </w:tc>
      </w:tr>
    </w:tbl>
    <w:p w14:paraId="041E7D76" w14:textId="2C4DBE26" w:rsidR="00C07907" w:rsidRPr="00CB4858" w:rsidRDefault="00C07907" w:rsidP="00C07907">
      <w:pPr>
        <w:spacing w:line="240" w:lineRule="exact"/>
        <w:rPr>
          <w:sz w:val="22"/>
          <w:szCs w:val="22"/>
        </w:rPr>
      </w:pPr>
      <w:r w:rsidRPr="00CB4858">
        <w:rPr>
          <w:b/>
          <w:sz w:val="22"/>
          <w:szCs w:val="22"/>
        </w:rPr>
        <w:t>Subcommittee Scope:</w:t>
      </w:r>
      <w:r w:rsidRPr="00CB4858">
        <w:rPr>
          <w:sz w:val="22"/>
          <w:szCs w:val="22"/>
        </w:rPr>
        <w:t xml:space="preserve"> explore and develop technologies to detect and diagno</w:t>
      </w:r>
      <w:r w:rsidR="00533192" w:rsidRPr="00CB4858">
        <w:rPr>
          <w:sz w:val="22"/>
          <w:szCs w:val="22"/>
        </w:rPr>
        <w:t>se</w:t>
      </w:r>
      <w:r w:rsidRPr="00CB4858">
        <w:rPr>
          <w:sz w:val="22"/>
          <w:szCs w:val="22"/>
        </w:rPr>
        <w:t xml:space="preserve"> common faults in both commercial and residential buildings.  The scope of this subcommittee includes (a) identifying and sponsoring research projects to develop new FDD technologies, evaluate existing FDD technologies; provide recommendations to building operators and practical engineers</w:t>
      </w:r>
      <w:r w:rsidR="00EE7CF1" w:rsidRPr="00CB4858">
        <w:rPr>
          <w:sz w:val="22"/>
          <w:szCs w:val="22"/>
        </w:rPr>
        <w:t>,</w:t>
      </w:r>
      <w:r w:rsidRPr="00CB4858">
        <w:rPr>
          <w:sz w:val="22"/>
          <w:szCs w:val="22"/>
        </w:rPr>
        <w:t xml:space="preserve"> and develop supporting tools for researchers in FDD areas</w:t>
      </w:r>
      <w:r w:rsidR="00EE7CF1" w:rsidRPr="00CB4858">
        <w:rPr>
          <w:sz w:val="22"/>
          <w:szCs w:val="22"/>
        </w:rPr>
        <w:t>,</w:t>
      </w:r>
      <w:r w:rsidRPr="00CB4858">
        <w:rPr>
          <w:sz w:val="22"/>
          <w:szCs w:val="22"/>
        </w:rPr>
        <w:t xml:space="preserve"> and b) organizing programs to disseminate research findings and advancements in FDD areas among ASHRAE members. </w:t>
      </w:r>
    </w:p>
    <w:p w14:paraId="20BFBC49" w14:textId="77777777" w:rsidR="00C07907" w:rsidRDefault="00C07907" w:rsidP="00C07907">
      <w:pPr>
        <w:spacing w:line="240" w:lineRule="exact"/>
        <w:rPr>
          <w:sz w:val="20"/>
          <w:szCs w:val="20"/>
        </w:rPr>
      </w:pPr>
    </w:p>
    <w:p w14:paraId="76A6FAA2" w14:textId="77777777" w:rsidR="00C07907" w:rsidRPr="00AC0DB3" w:rsidRDefault="00C07907" w:rsidP="00C07907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Agenda:</w:t>
      </w:r>
    </w:p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3"/>
        <w:gridCol w:w="5400"/>
        <w:gridCol w:w="2790"/>
      </w:tblGrid>
      <w:tr w:rsidR="00C07907" w:rsidRPr="00621CB5" w14:paraId="3DC82D3A" w14:textId="77777777" w:rsidTr="00B960E0">
        <w:tc>
          <w:tcPr>
            <w:tcW w:w="1113" w:type="dxa"/>
            <w:vAlign w:val="center"/>
          </w:tcPr>
          <w:p w14:paraId="7EEA08F1" w14:textId="77777777" w:rsidR="00C07907" w:rsidRPr="00621CB5" w:rsidRDefault="00C07907" w:rsidP="00B960E0">
            <w:pPr>
              <w:snapToGrid w:val="0"/>
              <w:ind w:left="12"/>
              <w:rPr>
                <w:sz w:val="22"/>
                <w:szCs w:val="22"/>
              </w:rPr>
            </w:pPr>
            <w:r w:rsidRPr="00621CB5">
              <w:rPr>
                <w:sz w:val="22"/>
                <w:szCs w:val="22"/>
              </w:rPr>
              <w:t>0:00</w:t>
            </w:r>
          </w:p>
        </w:tc>
        <w:tc>
          <w:tcPr>
            <w:tcW w:w="5400" w:type="dxa"/>
            <w:vAlign w:val="center"/>
          </w:tcPr>
          <w:p w14:paraId="7365FB8F" w14:textId="77777777" w:rsidR="00C07907" w:rsidRPr="009A549E" w:rsidRDefault="00C07907" w:rsidP="00B960E0">
            <w:pPr>
              <w:snapToGrid w:val="0"/>
              <w:rPr>
                <w:b/>
                <w:sz w:val="22"/>
                <w:szCs w:val="22"/>
              </w:rPr>
            </w:pPr>
            <w:r w:rsidRPr="009A549E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2790" w:type="dxa"/>
            <w:vAlign w:val="center"/>
          </w:tcPr>
          <w:p w14:paraId="2A70A073" w14:textId="77777777" w:rsidR="00C07907" w:rsidRPr="00621CB5" w:rsidRDefault="00C07907" w:rsidP="00B960E0">
            <w:pPr>
              <w:snapToGrid w:val="0"/>
              <w:rPr>
                <w:sz w:val="22"/>
                <w:szCs w:val="22"/>
              </w:rPr>
            </w:pPr>
          </w:p>
        </w:tc>
      </w:tr>
      <w:tr w:rsidR="00C07907" w:rsidRPr="00621CB5" w14:paraId="0ABC6D5E" w14:textId="77777777" w:rsidTr="00B960E0">
        <w:trPr>
          <w:trHeight w:val="210"/>
        </w:trPr>
        <w:tc>
          <w:tcPr>
            <w:tcW w:w="1113" w:type="dxa"/>
            <w:vAlign w:val="center"/>
          </w:tcPr>
          <w:p w14:paraId="437BCE8E" w14:textId="77777777" w:rsidR="00C07907" w:rsidRPr="00621CB5" w:rsidRDefault="00C07907" w:rsidP="00B960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7FAFF82C" w14:textId="474F8DFE" w:rsidR="00C07907" w:rsidRPr="00621CB5" w:rsidRDefault="007A46AB" w:rsidP="00B960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</w:t>
            </w:r>
            <w:r w:rsidR="00C07907" w:rsidRPr="00621CB5">
              <w:rPr>
                <w:rFonts w:hint="eastAsia"/>
                <w:sz w:val="22"/>
                <w:szCs w:val="22"/>
              </w:rPr>
              <w:t>-introduction, announce the subcommittee scope.</w:t>
            </w:r>
          </w:p>
        </w:tc>
        <w:tc>
          <w:tcPr>
            <w:tcW w:w="2790" w:type="dxa"/>
            <w:vAlign w:val="center"/>
          </w:tcPr>
          <w:p w14:paraId="1CD0A0FB" w14:textId="77777777" w:rsidR="00C07907" w:rsidRPr="00621CB5" w:rsidRDefault="00C07907" w:rsidP="00B960E0">
            <w:pPr>
              <w:snapToGrid w:val="0"/>
              <w:rPr>
                <w:sz w:val="22"/>
                <w:szCs w:val="22"/>
              </w:rPr>
            </w:pPr>
          </w:p>
        </w:tc>
      </w:tr>
      <w:tr w:rsidR="00C07907" w:rsidRPr="00621CB5" w14:paraId="537E234E" w14:textId="77777777" w:rsidTr="00B960E0">
        <w:tc>
          <w:tcPr>
            <w:tcW w:w="1113" w:type="dxa"/>
            <w:vAlign w:val="center"/>
          </w:tcPr>
          <w:p w14:paraId="79BC5AC1" w14:textId="2517DF59" w:rsidR="00C07907" w:rsidRDefault="006F5550" w:rsidP="00B960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07907">
              <w:rPr>
                <w:sz w:val="22"/>
                <w:szCs w:val="22"/>
              </w:rPr>
              <w:t xml:space="preserve"> min</w:t>
            </w:r>
            <w:r w:rsidR="006C006F">
              <w:rPr>
                <w:sz w:val="22"/>
                <w:szCs w:val="22"/>
              </w:rPr>
              <w:t>s</w:t>
            </w:r>
          </w:p>
        </w:tc>
        <w:tc>
          <w:tcPr>
            <w:tcW w:w="5400" w:type="dxa"/>
            <w:vAlign w:val="center"/>
          </w:tcPr>
          <w:p w14:paraId="49F29360" w14:textId="77777777" w:rsidR="00C07907" w:rsidRPr="001B505E" w:rsidRDefault="00C07907" w:rsidP="00B960E0">
            <w:pPr>
              <w:spacing w:line="240" w:lineRule="exact"/>
              <w:ind w:right="-720"/>
              <w:rPr>
                <w:b/>
              </w:rPr>
            </w:pPr>
            <w:r w:rsidRPr="00D3133F">
              <w:rPr>
                <w:b/>
              </w:rPr>
              <w:t>Sessions at current ASHARE conference</w:t>
            </w:r>
          </w:p>
        </w:tc>
        <w:tc>
          <w:tcPr>
            <w:tcW w:w="2790" w:type="dxa"/>
            <w:vAlign w:val="center"/>
          </w:tcPr>
          <w:p w14:paraId="7A0CAE0D" w14:textId="77777777" w:rsidR="00C07907" w:rsidRDefault="00C07907" w:rsidP="00B960E0">
            <w:pPr>
              <w:snapToGrid w:val="0"/>
              <w:rPr>
                <w:sz w:val="22"/>
                <w:szCs w:val="22"/>
              </w:rPr>
            </w:pPr>
          </w:p>
        </w:tc>
      </w:tr>
      <w:tr w:rsidR="00C07907" w:rsidRPr="00533192" w14:paraId="64724BCE" w14:textId="77777777" w:rsidTr="00B960E0">
        <w:tc>
          <w:tcPr>
            <w:tcW w:w="1113" w:type="dxa"/>
            <w:vAlign w:val="center"/>
          </w:tcPr>
          <w:p w14:paraId="291D4778" w14:textId="77777777" w:rsidR="00C07907" w:rsidRPr="002D1587" w:rsidRDefault="00C07907" w:rsidP="00B960E0">
            <w:pPr>
              <w:snapToGrid w:val="0"/>
              <w:rPr>
                <w:rFonts w:eastAsiaTheme="majorEastAsia"/>
                <w:color w:val="222222"/>
                <w:sz w:val="22"/>
                <w:szCs w:val="23"/>
              </w:rPr>
            </w:pPr>
          </w:p>
        </w:tc>
        <w:tc>
          <w:tcPr>
            <w:tcW w:w="5400" w:type="dxa"/>
            <w:vAlign w:val="center"/>
          </w:tcPr>
          <w:p w14:paraId="52DA17E4" w14:textId="77777777" w:rsidR="007A46AB" w:rsidRDefault="007A46AB" w:rsidP="007A46AB">
            <w:pPr>
              <w:rPr>
                <w:rFonts w:eastAsiaTheme="majorEastAsia"/>
                <w:color w:val="222222"/>
                <w:sz w:val="22"/>
                <w:szCs w:val="23"/>
              </w:rPr>
            </w:pPr>
            <w:r w:rsidRPr="007A46AB">
              <w:rPr>
                <w:rFonts w:eastAsiaTheme="majorEastAsia"/>
                <w:color w:val="222222"/>
                <w:sz w:val="22"/>
                <w:szCs w:val="23"/>
              </w:rPr>
              <w:t>Labeling Modes of Operation and Extracting Features for Fault Detection with Cloud-Based Thermostat Data (VC-20-C006)</w:t>
            </w:r>
          </w:p>
          <w:p w14:paraId="73DC4D85" w14:textId="77777777" w:rsidR="007A46AB" w:rsidRDefault="007A46AB" w:rsidP="007A46AB">
            <w:pPr>
              <w:rPr>
                <w:rFonts w:eastAsiaTheme="majorEastAsia"/>
                <w:color w:val="222222"/>
                <w:sz w:val="22"/>
                <w:szCs w:val="23"/>
              </w:rPr>
            </w:pPr>
            <w:r>
              <w:rPr>
                <w:rFonts w:eastAsiaTheme="majorEastAsia"/>
                <w:color w:val="222222"/>
                <w:sz w:val="22"/>
                <w:szCs w:val="23"/>
              </w:rPr>
              <w:t>Monday, June 22, 2020</w:t>
            </w:r>
          </w:p>
          <w:p w14:paraId="67CBFA82" w14:textId="4762CD50" w:rsidR="007A46AB" w:rsidRPr="007A46AB" w:rsidRDefault="007A46AB" w:rsidP="007A46AB">
            <w:pPr>
              <w:rPr>
                <w:rFonts w:eastAsiaTheme="majorEastAsia"/>
                <w:color w:val="222222"/>
                <w:sz w:val="22"/>
                <w:szCs w:val="23"/>
              </w:rPr>
            </w:pPr>
            <w:r>
              <w:rPr>
                <w:rFonts w:eastAsiaTheme="majorEastAsia"/>
                <w:color w:val="222222"/>
                <w:sz w:val="22"/>
                <w:szCs w:val="23"/>
              </w:rPr>
              <w:t>8:20 AM - 8:40 AM</w:t>
            </w:r>
          </w:p>
        </w:tc>
        <w:tc>
          <w:tcPr>
            <w:tcW w:w="2790" w:type="dxa"/>
            <w:vAlign w:val="center"/>
          </w:tcPr>
          <w:p w14:paraId="17564A6F" w14:textId="1BB29DAA" w:rsidR="00C07907" w:rsidRPr="002D1587" w:rsidRDefault="00036FC4" w:rsidP="00B960E0">
            <w:pPr>
              <w:snapToGrid w:val="0"/>
              <w:rPr>
                <w:rFonts w:eastAsiaTheme="majorEastAsia"/>
                <w:color w:val="222222"/>
                <w:sz w:val="23"/>
                <w:szCs w:val="23"/>
              </w:rPr>
            </w:pPr>
            <w:r w:rsidRPr="00036FC4">
              <w:rPr>
                <w:rFonts w:eastAsiaTheme="majorEastAsia"/>
                <w:color w:val="222222"/>
                <w:sz w:val="22"/>
                <w:szCs w:val="23"/>
              </w:rPr>
              <w:t>Austin Rogers</w:t>
            </w:r>
          </w:p>
        </w:tc>
      </w:tr>
      <w:tr w:rsidR="00664189" w:rsidRPr="00533192" w14:paraId="7341F986" w14:textId="77777777" w:rsidTr="00B960E0">
        <w:tc>
          <w:tcPr>
            <w:tcW w:w="1113" w:type="dxa"/>
            <w:vAlign w:val="center"/>
          </w:tcPr>
          <w:p w14:paraId="10DA9D20" w14:textId="77777777" w:rsidR="00664189" w:rsidRPr="002D1587" w:rsidRDefault="00664189" w:rsidP="00B960E0">
            <w:pPr>
              <w:snapToGrid w:val="0"/>
              <w:rPr>
                <w:rFonts w:eastAsiaTheme="majorEastAsia"/>
                <w:color w:val="222222"/>
                <w:sz w:val="22"/>
                <w:szCs w:val="23"/>
              </w:rPr>
            </w:pPr>
          </w:p>
        </w:tc>
        <w:tc>
          <w:tcPr>
            <w:tcW w:w="5400" w:type="dxa"/>
            <w:vAlign w:val="center"/>
          </w:tcPr>
          <w:p w14:paraId="693773C2" w14:textId="1DC27A91" w:rsidR="00664189" w:rsidRPr="00664189" w:rsidRDefault="001A1142" w:rsidP="007A46AB">
            <w:pPr>
              <w:pStyle w:val="Heading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222222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3"/>
              </w:rPr>
              <w:t xml:space="preserve">Seminar 63 </w:t>
            </w:r>
            <w:r w:rsidR="00664189" w:rsidRPr="00664189">
              <w:rPr>
                <w:rFonts w:ascii="Times New Roman" w:hAnsi="Times New Roman" w:cs="Times New Roman" w:hint="eastAsia"/>
                <w:color w:val="222222"/>
                <w:sz w:val="22"/>
                <w:szCs w:val="23"/>
              </w:rPr>
              <w:t>Facilitating the Operation of Smart Buildings through Instrumentation, Monitoring and Data</w:t>
            </w:r>
          </w:p>
          <w:p w14:paraId="2A3687E1" w14:textId="6144B1C1" w:rsidR="001A1142" w:rsidRPr="001A1142" w:rsidRDefault="00A67FEE" w:rsidP="001A1142">
            <w:pPr>
              <w:pStyle w:val="ListParagraph"/>
              <w:numPr>
                <w:ilvl w:val="0"/>
                <w:numId w:val="7"/>
              </w:numPr>
              <w:rPr>
                <w:rFonts w:eastAsiaTheme="majorEastAsia"/>
                <w:color w:val="222222"/>
                <w:sz w:val="22"/>
                <w:szCs w:val="23"/>
              </w:rPr>
            </w:pPr>
            <w:hyperlink r:id="rId9" w:history="1">
              <w:r w:rsidR="001A1142" w:rsidRPr="001A1142">
                <w:rPr>
                  <w:rFonts w:eastAsiaTheme="majorEastAsia"/>
                  <w:color w:val="222222"/>
                  <w:sz w:val="22"/>
                  <w:szCs w:val="23"/>
                </w:rPr>
                <w:t>Overview and Best Practices for Energy Metering in Modern Smart Buildings</w:t>
              </w:r>
            </w:hyperlink>
          </w:p>
          <w:p w14:paraId="23642383" w14:textId="79AD0435" w:rsidR="001A1142" w:rsidRPr="001A1142" w:rsidRDefault="00A67FEE" w:rsidP="001A1142">
            <w:pPr>
              <w:pStyle w:val="ListParagraph"/>
              <w:numPr>
                <w:ilvl w:val="0"/>
                <w:numId w:val="7"/>
              </w:numPr>
              <w:rPr>
                <w:rFonts w:eastAsiaTheme="majorEastAsia"/>
                <w:color w:val="222222"/>
                <w:sz w:val="22"/>
                <w:szCs w:val="23"/>
              </w:rPr>
            </w:pPr>
            <w:hyperlink r:id="rId10" w:history="1">
              <w:r w:rsidR="001A1142" w:rsidRPr="001A1142">
                <w:rPr>
                  <w:rFonts w:eastAsiaTheme="majorEastAsia"/>
                  <w:color w:val="222222"/>
                  <w:sz w:val="22"/>
                  <w:szCs w:val="23"/>
                </w:rPr>
                <w:t>Case Studies of Integrating Luminaire-Level Occupancy Sensor Signals with HVAC and Plug Loads for Added Savings</w:t>
              </w:r>
            </w:hyperlink>
          </w:p>
          <w:p w14:paraId="4CA63684" w14:textId="02AFFB38" w:rsidR="00664189" w:rsidRPr="001A1142" w:rsidRDefault="00A67FEE" w:rsidP="001A1142">
            <w:pPr>
              <w:pStyle w:val="ListParagraph"/>
              <w:numPr>
                <w:ilvl w:val="0"/>
                <w:numId w:val="7"/>
              </w:numPr>
              <w:rPr>
                <w:rFonts w:eastAsiaTheme="majorEastAsia"/>
                <w:color w:val="222222"/>
                <w:sz w:val="22"/>
                <w:szCs w:val="23"/>
              </w:rPr>
            </w:pPr>
            <w:hyperlink r:id="rId11" w:history="1">
              <w:r w:rsidR="00664189" w:rsidRPr="001A1142">
                <w:rPr>
                  <w:rFonts w:eastAsiaTheme="majorEastAsia"/>
                  <w:color w:val="222222"/>
                  <w:sz w:val="22"/>
                  <w:szCs w:val="23"/>
                </w:rPr>
                <w:t xml:space="preserve">Filling in the Gaps! When Sensors </w:t>
              </w:r>
              <w:proofErr w:type="gramStart"/>
              <w:r w:rsidR="00664189" w:rsidRPr="001A1142">
                <w:rPr>
                  <w:rFonts w:eastAsiaTheme="majorEastAsia"/>
                  <w:color w:val="222222"/>
                  <w:sz w:val="22"/>
                  <w:szCs w:val="23"/>
                </w:rPr>
                <w:t>Aren’t</w:t>
              </w:r>
              <w:proofErr w:type="gramEnd"/>
              <w:r w:rsidR="00664189" w:rsidRPr="001A1142">
                <w:rPr>
                  <w:rFonts w:eastAsiaTheme="majorEastAsia"/>
                  <w:color w:val="222222"/>
                  <w:sz w:val="22"/>
                  <w:szCs w:val="23"/>
                </w:rPr>
                <w:t xml:space="preserve"> Enough</w:t>
              </w:r>
            </w:hyperlink>
          </w:p>
          <w:p w14:paraId="238F6F4E" w14:textId="77777777" w:rsidR="001A1142" w:rsidRPr="001A1142" w:rsidRDefault="001A1142" w:rsidP="00664189">
            <w:pPr>
              <w:rPr>
                <w:sz w:val="22"/>
                <w:szCs w:val="22"/>
              </w:rPr>
            </w:pPr>
            <w:r w:rsidRPr="001A1142">
              <w:rPr>
                <w:sz w:val="22"/>
                <w:szCs w:val="22"/>
              </w:rPr>
              <w:t xml:space="preserve">Monday, June 22, 2020 </w:t>
            </w:r>
          </w:p>
          <w:p w14:paraId="2DCA8D6C" w14:textId="14D7C069" w:rsidR="001A1142" w:rsidRPr="00664189" w:rsidRDefault="001A1142" w:rsidP="00664189">
            <w:r w:rsidRPr="001A1142">
              <w:rPr>
                <w:sz w:val="22"/>
                <w:szCs w:val="22"/>
              </w:rPr>
              <w:t>8:00 AM – 9:00 AM</w:t>
            </w:r>
          </w:p>
        </w:tc>
        <w:tc>
          <w:tcPr>
            <w:tcW w:w="2790" w:type="dxa"/>
            <w:vAlign w:val="center"/>
          </w:tcPr>
          <w:p w14:paraId="778A4344" w14:textId="7C98A5B0" w:rsidR="001A1142" w:rsidRDefault="001A1142" w:rsidP="00B960E0">
            <w:pPr>
              <w:snapToGrid w:val="0"/>
              <w:rPr>
                <w:rFonts w:eastAsiaTheme="majorEastAsia"/>
                <w:color w:val="222222"/>
                <w:sz w:val="22"/>
                <w:szCs w:val="23"/>
              </w:rPr>
            </w:pPr>
            <w:r w:rsidRPr="001A1142">
              <w:rPr>
                <w:rFonts w:eastAsiaTheme="majorEastAsia"/>
                <w:color w:val="222222"/>
                <w:sz w:val="22"/>
                <w:szCs w:val="23"/>
              </w:rPr>
              <w:t>Glenn Remington</w:t>
            </w:r>
          </w:p>
          <w:p w14:paraId="071955A4" w14:textId="3510E7A3" w:rsidR="001A1142" w:rsidRPr="001A1142" w:rsidRDefault="001A1142" w:rsidP="00B960E0">
            <w:pPr>
              <w:snapToGrid w:val="0"/>
              <w:rPr>
                <w:rFonts w:eastAsiaTheme="majorEastAsia"/>
                <w:color w:val="222222"/>
                <w:sz w:val="22"/>
                <w:szCs w:val="23"/>
              </w:rPr>
            </w:pPr>
            <w:r w:rsidRPr="001A1142">
              <w:rPr>
                <w:rFonts w:eastAsiaTheme="majorEastAsia"/>
                <w:color w:val="222222"/>
                <w:sz w:val="22"/>
                <w:szCs w:val="23"/>
              </w:rPr>
              <w:t xml:space="preserve">Scott </w:t>
            </w:r>
            <w:proofErr w:type="spellStart"/>
            <w:r w:rsidRPr="001A1142">
              <w:rPr>
                <w:rFonts w:eastAsiaTheme="majorEastAsia"/>
                <w:color w:val="222222"/>
                <w:sz w:val="22"/>
                <w:szCs w:val="23"/>
              </w:rPr>
              <w:t>Hackel</w:t>
            </w:r>
            <w:proofErr w:type="spellEnd"/>
          </w:p>
          <w:p w14:paraId="0F63B387" w14:textId="392FBD9F" w:rsidR="001A1142" w:rsidRPr="00664189" w:rsidRDefault="00664189" w:rsidP="00B960E0">
            <w:pPr>
              <w:snapToGrid w:val="0"/>
              <w:rPr>
                <w:rFonts w:eastAsiaTheme="majorEastAsia"/>
                <w:color w:val="222222"/>
                <w:sz w:val="22"/>
                <w:szCs w:val="23"/>
              </w:rPr>
            </w:pPr>
            <w:r w:rsidRPr="00664189">
              <w:rPr>
                <w:rFonts w:eastAsiaTheme="majorEastAsia"/>
                <w:color w:val="222222"/>
                <w:sz w:val="22"/>
                <w:szCs w:val="23"/>
              </w:rPr>
              <w:t xml:space="preserve">Nick </w:t>
            </w:r>
            <w:proofErr w:type="spellStart"/>
            <w:r w:rsidRPr="00664189">
              <w:rPr>
                <w:rFonts w:eastAsiaTheme="majorEastAsia"/>
                <w:color w:val="222222"/>
                <w:sz w:val="22"/>
                <w:szCs w:val="23"/>
              </w:rPr>
              <w:t>Gayeski</w:t>
            </w:r>
            <w:proofErr w:type="spellEnd"/>
          </w:p>
          <w:p w14:paraId="51EB3F4A" w14:textId="77777777" w:rsidR="00664189" w:rsidRPr="00664189" w:rsidRDefault="00664189" w:rsidP="00664189">
            <w:pPr>
              <w:snapToGrid w:val="0"/>
              <w:rPr>
                <w:rFonts w:eastAsiaTheme="majorEastAsia"/>
                <w:color w:val="222222"/>
                <w:sz w:val="22"/>
                <w:szCs w:val="23"/>
              </w:rPr>
            </w:pPr>
            <w:r w:rsidRPr="00664189">
              <w:rPr>
                <w:rFonts w:eastAsiaTheme="majorEastAsia"/>
                <w:color w:val="222222"/>
                <w:sz w:val="22"/>
                <w:szCs w:val="23"/>
              </w:rPr>
              <w:t>Kristen Cetin (Chair)</w:t>
            </w:r>
          </w:p>
          <w:p w14:paraId="4EA035EF" w14:textId="5DBE22FB" w:rsidR="00664189" w:rsidRPr="00036FC4" w:rsidRDefault="00664189" w:rsidP="00B960E0">
            <w:pPr>
              <w:snapToGrid w:val="0"/>
              <w:rPr>
                <w:rFonts w:eastAsiaTheme="majorEastAsia"/>
                <w:color w:val="222222"/>
                <w:sz w:val="22"/>
                <w:szCs w:val="23"/>
                <w:lang w:eastAsia="zh-CN"/>
              </w:rPr>
            </w:pPr>
          </w:p>
        </w:tc>
      </w:tr>
      <w:tr w:rsidR="00C07907" w:rsidRPr="00621CB5" w14:paraId="1BC142B4" w14:textId="77777777" w:rsidTr="00533192">
        <w:trPr>
          <w:trHeight w:val="372"/>
        </w:trPr>
        <w:tc>
          <w:tcPr>
            <w:tcW w:w="1113" w:type="dxa"/>
            <w:vAlign w:val="center"/>
          </w:tcPr>
          <w:p w14:paraId="1C230AB8" w14:textId="1FE02B4E" w:rsidR="00C07907" w:rsidRDefault="006C006F" w:rsidP="00B960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C07907">
              <w:rPr>
                <w:sz w:val="22"/>
                <w:szCs w:val="22"/>
              </w:rPr>
              <w:t>min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5400" w:type="dxa"/>
            <w:vAlign w:val="center"/>
          </w:tcPr>
          <w:p w14:paraId="799E8BDC" w14:textId="4C4378C8" w:rsidR="00C07907" w:rsidRDefault="00CD5F88" w:rsidP="00B960E0">
            <w:pPr>
              <w:snapToGrid w:val="0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Annual</w:t>
            </w:r>
            <w:r w:rsidR="00C07907">
              <w:rPr>
                <w:b/>
                <w:sz w:val="22"/>
                <w:szCs w:val="22"/>
              </w:rPr>
              <w:t xml:space="preserve"> </w:t>
            </w:r>
            <w:r w:rsidR="00C07907" w:rsidRPr="009A549E">
              <w:rPr>
                <w:b/>
                <w:sz w:val="22"/>
                <w:szCs w:val="22"/>
              </w:rPr>
              <w:t>ASHRAE conference seminar ideas</w:t>
            </w:r>
            <w:r w:rsidR="00C8708F">
              <w:rPr>
                <w:b/>
                <w:sz w:val="22"/>
                <w:szCs w:val="22"/>
              </w:rPr>
              <w:t xml:space="preserve"> </w:t>
            </w:r>
          </w:p>
          <w:p w14:paraId="53AB7C1C" w14:textId="5C0A4767" w:rsidR="00C8708F" w:rsidRPr="00C8708F" w:rsidRDefault="007E5D3D" w:rsidP="00C8708F">
            <w:pPr>
              <w:pStyle w:val="ListParagraph"/>
              <w:numPr>
                <w:ilvl w:val="0"/>
                <w:numId w:val="6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F</w:t>
            </w:r>
            <w:r w:rsidR="00C8708F" w:rsidRPr="00C8708F">
              <w:rPr>
                <w:sz w:val="22"/>
                <w:szCs w:val="22"/>
                <w:lang w:eastAsia="zh-CN"/>
              </w:rPr>
              <w:t xml:space="preserve">undamental and </w:t>
            </w:r>
            <w:r w:rsidR="00454C51">
              <w:rPr>
                <w:sz w:val="22"/>
                <w:szCs w:val="22"/>
                <w:lang w:eastAsia="zh-CN"/>
              </w:rPr>
              <w:t>A</w:t>
            </w:r>
            <w:r w:rsidR="00C8708F" w:rsidRPr="00C8708F">
              <w:rPr>
                <w:sz w:val="22"/>
                <w:szCs w:val="22"/>
                <w:lang w:eastAsia="zh-CN"/>
              </w:rPr>
              <w:t>pplications</w:t>
            </w:r>
          </w:p>
          <w:p w14:paraId="2A6D9405" w14:textId="2DC6D3C3" w:rsidR="00C8708F" w:rsidRPr="00C8708F" w:rsidRDefault="007E5D3D" w:rsidP="00C8708F">
            <w:pPr>
              <w:pStyle w:val="ListParagraph"/>
              <w:numPr>
                <w:ilvl w:val="0"/>
                <w:numId w:val="6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HVAC&amp;R </w:t>
            </w:r>
            <w:r w:rsidR="00454C51">
              <w:rPr>
                <w:sz w:val="22"/>
                <w:szCs w:val="22"/>
                <w:lang w:eastAsia="zh-CN"/>
              </w:rPr>
              <w:t>S</w:t>
            </w:r>
            <w:r w:rsidR="00C8708F" w:rsidRPr="00C8708F">
              <w:rPr>
                <w:sz w:val="22"/>
                <w:szCs w:val="22"/>
                <w:lang w:eastAsia="zh-CN"/>
              </w:rPr>
              <w:t xml:space="preserve">ystems and </w:t>
            </w:r>
            <w:r w:rsidR="00454C51">
              <w:rPr>
                <w:sz w:val="22"/>
                <w:szCs w:val="22"/>
                <w:lang w:eastAsia="zh-CN"/>
              </w:rPr>
              <w:t>E</w:t>
            </w:r>
            <w:r w:rsidR="00C8708F" w:rsidRPr="00C8708F">
              <w:rPr>
                <w:sz w:val="22"/>
                <w:szCs w:val="22"/>
                <w:lang w:eastAsia="zh-CN"/>
              </w:rPr>
              <w:t>quipment</w:t>
            </w:r>
          </w:p>
          <w:p w14:paraId="760EA512" w14:textId="21535220" w:rsidR="00C8708F" w:rsidRPr="00C8708F" w:rsidRDefault="00F96316" w:rsidP="00C8708F">
            <w:pPr>
              <w:pStyle w:val="ListParagraph"/>
              <w:numPr>
                <w:ilvl w:val="0"/>
                <w:numId w:val="6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Refrigeration and Refrigerants</w:t>
            </w:r>
          </w:p>
          <w:p w14:paraId="1C21D638" w14:textId="0B6A2DD5" w:rsidR="00C8708F" w:rsidRPr="00454C51" w:rsidRDefault="00F96316" w:rsidP="00C8708F">
            <w:pPr>
              <w:pStyle w:val="ListParagraph"/>
              <w:numPr>
                <w:ilvl w:val="0"/>
                <w:numId w:val="6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Environmental Health Through IEQ</w:t>
            </w:r>
          </w:p>
          <w:p w14:paraId="494394F5" w14:textId="113F2360" w:rsidR="00C8708F" w:rsidRPr="00454C51" w:rsidRDefault="00F96316" w:rsidP="00C8708F">
            <w:pPr>
              <w:pStyle w:val="ListParagraph"/>
              <w:numPr>
                <w:ilvl w:val="0"/>
                <w:numId w:val="6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Building Performance and Commissioning for Operation and Management</w:t>
            </w:r>
          </w:p>
          <w:p w14:paraId="6B69D846" w14:textId="2BD06993" w:rsidR="00C8708F" w:rsidRPr="00454C51" w:rsidRDefault="00F96316" w:rsidP="00C8708F">
            <w:pPr>
              <w:pStyle w:val="ListParagraph"/>
              <w:numPr>
                <w:ilvl w:val="0"/>
                <w:numId w:val="6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Energy Conservation </w:t>
            </w:r>
          </w:p>
          <w:p w14:paraId="7968DEC9" w14:textId="6A96563F" w:rsidR="00C8708F" w:rsidRPr="00C8708F" w:rsidRDefault="00F96316" w:rsidP="00C8708F">
            <w:pPr>
              <w:pStyle w:val="ListParagraph"/>
              <w:numPr>
                <w:ilvl w:val="0"/>
                <w:numId w:val="6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International Design</w:t>
            </w:r>
          </w:p>
          <w:p w14:paraId="28904D88" w14:textId="242A7558" w:rsidR="00CD5F88" w:rsidRDefault="00F96316" w:rsidP="00F96316">
            <w:pPr>
              <w:pStyle w:val="ListParagraph"/>
              <w:numPr>
                <w:ilvl w:val="0"/>
                <w:numId w:val="6"/>
              </w:num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Standards, Guidelines and Codes</w:t>
            </w:r>
            <w:r w:rsidR="00CD5F88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</w:p>
          <w:p w14:paraId="0BE4796E" w14:textId="3DD3BE3C" w:rsidR="00F96316" w:rsidRDefault="00F96316" w:rsidP="00F96316">
            <w:pPr>
              <w:pStyle w:val="ListParagraph"/>
              <w:numPr>
                <w:ilvl w:val="0"/>
                <w:numId w:val="6"/>
              </w:numPr>
              <w:snapToGrid w:val="0"/>
              <w:rPr>
                <w:sz w:val="22"/>
                <w:szCs w:val="22"/>
                <w:lang w:eastAsia="zh-CN"/>
              </w:rPr>
            </w:pPr>
            <w:proofErr w:type="gramStart"/>
            <w:r>
              <w:rPr>
                <w:sz w:val="22"/>
                <w:szCs w:val="22"/>
                <w:lang w:eastAsia="zh-CN"/>
              </w:rPr>
              <w:t>Mini-track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based on </w:t>
            </w:r>
            <w:r w:rsidRPr="00F96316">
              <w:rPr>
                <w:sz w:val="22"/>
                <w:szCs w:val="22"/>
                <w:lang w:eastAsia="zh-CN"/>
              </w:rPr>
              <w:t>Chuck Gulledge's Presidential Theme</w:t>
            </w:r>
            <w:r>
              <w:rPr>
                <w:rStyle w:val="Strong"/>
                <w:rFonts w:ascii="Helvetica" w:hAnsi="Helvetica" w:cs="Helvetica"/>
                <w:color w:val="717075"/>
                <w:sz w:val="21"/>
                <w:szCs w:val="21"/>
                <w:shd w:val="clear" w:color="auto" w:fill="FFFFFF"/>
              </w:rPr>
              <w:t> </w:t>
            </w:r>
          </w:p>
          <w:p w14:paraId="58888E86" w14:textId="7297A6C4" w:rsidR="00DA694A" w:rsidRPr="00C8708F" w:rsidRDefault="006C006F" w:rsidP="00C8708F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Seminar </w:t>
            </w:r>
            <w:r w:rsidR="00C8708F">
              <w:rPr>
                <w:sz w:val="22"/>
                <w:szCs w:val="22"/>
                <w:lang w:eastAsia="zh-CN"/>
              </w:rPr>
              <w:t xml:space="preserve">proposals </w:t>
            </w:r>
            <w:r>
              <w:rPr>
                <w:sz w:val="22"/>
                <w:szCs w:val="22"/>
                <w:lang w:eastAsia="zh-CN"/>
              </w:rPr>
              <w:t>June 15</w:t>
            </w:r>
            <w:r w:rsidR="00C8708F">
              <w:rPr>
                <w:sz w:val="22"/>
                <w:szCs w:val="22"/>
                <w:lang w:eastAsia="zh-CN"/>
              </w:rPr>
              <w:t>, 20</w:t>
            </w:r>
            <w:r w:rsidR="00CD5F88">
              <w:rPr>
                <w:sz w:val="22"/>
                <w:szCs w:val="22"/>
                <w:lang w:eastAsia="zh-CN"/>
              </w:rPr>
              <w:t>20</w:t>
            </w:r>
            <w:r>
              <w:rPr>
                <w:sz w:val="22"/>
                <w:szCs w:val="22"/>
                <w:lang w:eastAsia="zh-CN"/>
              </w:rPr>
              <w:t xml:space="preserve"> – August 3, 2020</w:t>
            </w:r>
          </w:p>
          <w:p w14:paraId="075EF669" w14:textId="077FFA21" w:rsidR="00C8708F" w:rsidRPr="001F50B5" w:rsidRDefault="00C8708F" w:rsidP="00B960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611FCB25" w14:textId="094B37D3" w:rsidR="00C07907" w:rsidRDefault="00C07907" w:rsidP="00B960E0">
            <w:pPr>
              <w:snapToGrid w:val="0"/>
              <w:rPr>
                <w:sz w:val="22"/>
                <w:szCs w:val="22"/>
              </w:rPr>
            </w:pPr>
          </w:p>
        </w:tc>
      </w:tr>
      <w:tr w:rsidR="00CD5F88" w:rsidRPr="00621CB5" w14:paraId="25D8BBE0" w14:textId="77777777" w:rsidTr="00533192">
        <w:trPr>
          <w:trHeight w:val="372"/>
        </w:trPr>
        <w:tc>
          <w:tcPr>
            <w:tcW w:w="1113" w:type="dxa"/>
            <w:vAlign w:val="center"/>
          </w:tcPr>
          <w:p w14:paraId="53E39EC8" w14:textId="2A374326" w:rsidR="00CD5F88" w:rsidRDefault="006C006F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mins</w:t>
            </w:r>
          </w:p>
        </w:tc>
        <w:tc>
          <w:tcPr>
            <w:tcW w:w="5400" w:type="dxa"/>
            <w:vAlign w:val="center"/>
          </w:tcPr>
          <w:p w14:paraId="5E4F3B0B" w14:textId="2FB3181E" w:rsidR="00CD5F88" w:rsidRDefault="00CD5F88" w:rsidP="00CD5F88">
            <w:pPr>
              <w:snapToGrid w:val="0"/>
              <w:rPr>
                <w:b/>
                <w:sz w:val="22"/>
                <w:szCs w:val="22"/>
              </w:rPr>
            </w:pPr>
            <w:r w:rsidRPr="000038E6">
              <w:rPr>
                <w:b/>
                <w:bCs/>
                <w:sz w:val="22"/>
                <w:szCs w:val="22"/>
              </w:rPr>
              <w:t>Potential Seminar Ideas for Austin, TX</w:t>
            </w:r>
          </w:p>
        </w:tc>
        <w:tc>
          <w:tcPr>
            <w:tcW w:w="2790" w:type="dxa"/>
            <w:vAlign w:val="center"/>
          </w:tcPr>
          <w:p w14:paraId="2098ED6A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</w:p>
        </w:tc>
      </w:tr>
      <w:tr w:rsidR="00CD5F88" w:rsidRPr="00621CB5" w14:paraId="46C1E2F3" w14:textId="77777777" w:rsidTr="00533192">
        <w:trPr>
          <w:trHeight w:val="372"/>
        </w:trPr>
        <w:tc>
          <w:tcPr>
            <w:tcW w:w="1113" w:type="dxa"/>
            <w:vAlign w:val="center"/>
          </w:tcPr>
          <w:p w14:paraId="5066EEDC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04B0FB63" w14:textId="2E3E533A" w:rsidR="00CD5F88" w:rsidRDefault="00CD5F88" w:rsidP="00CD5F88">
            <w:pPr>
              <w:snapToGrid w:val="0"/>
              <w:rPr>
                <w:sz w:val="22"/>
                <w:szCs w:val="22"/>
              </w:rPr>
            </w:pPr>
            <w:r w:rsidRPr="007D6BD0">
              <w:rPr>
                <w:sz w:val="22"/>
                <w:szCs w:val="22"/>
              </w:rPr>
              <w:t>Automated Alarm Management: DDC alarms used for FDD?</w:t>
            </w:r>
          </w:p>
          <w:p w14:paraId="17E64B36" w14:textId="29287123" w:rsidR="009F539C" w:rsidRPr="009F539C" w:rsidRDefault="00CD5F88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Segment the alarm information into useful pieces. </w:t>
            </w:r>
            <w:r w:rsidR="00EE7CF1">
              <w:rPr>
                <w:sz w:val="22"/>
                <w:szCs w:val="22"/>
              </w:rPr>
              <w:t>The b</w:t>
            </w:r>
            <w:r>
              <w:rPr>
                <w:sz w:val="22"/>
                <w:szCs w:val="22"/>
              </w:rPr>
              <w:t xml:space="preserve">uilding operator </w:t>
            </w:r>
            <w:proofErr w:type="gramStart"/>
            <w:r>
              <w:rPr>
                <w:sz w:val="22"/>
                <w:szCs w:val="22"/>
              </w:rPr>
              <w:t>has to</w:t>
            </w:r>
            <w:proofErr w:type="gramEnd"/>
            <w:r>
              <w:rPr>
                <w:sz w:val="22"/>
                <w:szCs w:val="22"/>
              </w:rPr>
              <w:t xml:space="preserve"> go through all the alarms. </w:t>
            </w:r>
            <w:r w:rsidR="009F539C">
              <w:rPr>
                <w:sz w:val="22"/>
                <w:szCs w:val="22"/>
              </w:rPr>
              <w:t>M</w:t>
            </w:r>
            <w:r w:rsidR="009F539C" w:rsidRPr="009F539C">
              <w:rPr>
                <w:sz w:val="22"/>
                <w:szCs w:val="22"/>
              </w:rPr>
              <w:t>ake presentation to collect information to make a</w:t>
            </w:r>
            <w:r w:rsidR="00905D2B">
              <w:rPr>
                <w:rFonts w:hint="eastAsia"/>
                <w:sz w:val="22"/>
                <w:szCs w:val="22"/>
                <w:lang w:eastAsia="zh-CN"/>
              </w:rPr>
              <w:t>n</w:t>
            </w:r>
            <w:r w:rsidR="009F539C" w:rsidRPr="009F539C">
              <w:rPr>
                <w:sz w:val="22"/>
                <w:szCs w:val="22"/>
              </w:rPr>
              <w:t xml:space="preserve"> RTAR is a goal. TC1.4: program will be the co-host.</w:t>
            </w:r>
          </w:p>
        </w:tc>
        <w:tc>
          <w:tcPr>
            <w:tcW w:w="2790" w:type="dxa"/>
            <w:vAlign w:val="center"/>
          </w:tcPr>
          <w:p w14:paraId="78E00F8F" w14:textId="181FB08A" w:rsidR="00774F32" w:rsidRDefault="00CD5F88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Carol </w:t>
            </w:r>
            <w:r w:rsidRPr="0020255E">
              <w:rPr>
                <w:sz w:val="22"/>
                <w:szCs w:val="22"/>
              </w:rPr>
              <w:t>Lomonaco</w:t>
            </w:r>
            <w:r>
              <w:rPr>
                <w:sz w:val="22"/>
                <w:szCs w:val="22"/>
              </w:rPr>
              <w:t>, Kim</w:t>
            </w:r>
            <w:r w:rsidR="00041B30">
              <w:rPr>
                <w:sz w:val="22"/>
                <w:szCs w:val="22"/>
              </w:rPr>
              <w:t xml:space="preserve"> </w:t>
            </w:r>
            <w:r w:rsidR="00041B30" w:rsidRPr="00041B30">
              <w:rPr>
                <w:sz w:val="22"/>
                <w:szCs w:val="22"/>
              </w:rPr>
              <w:t>Barker</w:t>
            </w:r>
          </w:p>
        </w:tc>
      </w:tr>
      <w:tr w:rsidR="00CD5F88" w:rsidRPr="00621CB5" w14:paraId="535FA510" w14:textId="77777777" w:rsidTr="00533192">
        <w:trPr>
          <w:trHeight w:val="372"/>
        </w:trPr>
        <w:tc>
          <w:tcPr>
            <w:tcW w:w="1113" w:type="dxa"/>
            <w:vAlign w:val="center"/>
          </w:tcPr>
          <w:p w14:paraId="68F45198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7FEB273B" w14:textId="2674A9C7" w:rsidR="00CD5F88" w:rsidRDefault="00CD5F88" w:rsidP="00CD5F8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FDD in Guideline </w:t>
            </w:r>
            <w:r w:rsidR="00732F9A">
              <w:rPr>
                <w:sz w:val="22"/>
                <w:szCs w:val="22"/>
              </w:rPr>
              <w:t xml:space="preserve">(GPC) </w:t>
            </w:r>
            <w:r>
              <w:rPr>
                <w:sz w:val="22"/>
                <w:szCs w:val="22"/>
              </w:rPr>
              <w:t>36</w:t>
            </w:r>
            <w:r w:rsidR="00293B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0B95D070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 1.4, co-sponsor 7.5 FDD</w:t>
            </w:r>
          </w:p>
          <w:p w14:paraId="7B4CFBAA" w14:textId="26BF55F3" w:rsidR="0032465D" w:rsidRDefault="0032465D" w:rsidP="00CD5F88">
            <w:pPr>
              <w:snapToGrid w:val="0"/>
              <w:rPr>
                <w:sz w:val="22"/>
                <w:szCs w:val="22"/>
              </w:rPr>
            </w:pPr>
            <w:r w:rsidRPr="006C006F">
              <w:rPr>
                <w:sz w:val="22"/>
                <w:szCs w:val="22"/>
              </w:rPr>
              <w:t xml:space="preserve">Chair: </w:t>
            </w:r>
            <w:proofErr w:type="spellStart"/>
            <w:r w:rsidRPr="006C006F">
              <w:rPr>
                <w:sz w:val="22"/>
                <w:szCs w:val="22"/>
              </w:rPr>
              <w:t>Guanjin</w:t>
            </w:r>
            <w:r w:rsidR="004769B1" w:rsidRPr="006C006F">
              <w:rPr>
                <w:sz w:val="22"/>
                <w:szCs w:val="22"/>
              </w:rPr>
              <w:t>g</w:t>
            </w:r>
            <w:proofErr w:type="spellEnd"/>
            <w:r w:rsidR="004769B1" w:rsidRPr="006C006F">
              <w:rPr>
                <w:sz w:val="22"/>
                <w:szCs w:val="22"/>
              </w:rPr>
              <w:t xml:space="preserve"> Lin</w:t>
            </w:r>
            <w:r w:rsidRPr="006C006F">
              <w:rPr>
                <w:sz w:val="22"/>
                <w:szCs w:val="22"/>
              </w:rPr>
              <w:t xml:space="preserve"> (LBNL)</w:t>
            </w:r>
          </w:p>
        </w:tc>
      </w:tr>
      <w:tr w:rsidR="00CD5F88" w:rsidRPr="00621CB5" w14:paraId="52D2AAD1" w14:textId="77777777" w:rsidTr="00533192">
        <w:trPr>
          <w:trHeight w:val="372"/>
        </w:trPr>
        <w:tc>
          <w:tcPr>
            <w:tcW w:w="1113" w:type="dxa"/>
            <w:vAlign w:val="center"/>
          </w:tcPr>
          <w:p w14:paraId="02C8CA8E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6C0F48FB" w14:textId="19E34F16" w:rsidR="00CD5F88" w:rsidRDefault="00CD5F88" w:rsidP="00CD5F8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Fault prevalence</w:t>
            </w:r>
            <w:r w:rsidR="00876842">
              <w:rPr>
                <w:sz w:val="22"/>
                <w:szCs w:val="22"/>
              </w:rPr>
              <w:t xml:space="preserve"> </w:t>
            </w:r>
            <w:r w:rsidR="00377CE5">
              <w:rPr>
                <w:sz w:val="22"/>
                <w:szCs w:val="22"/>
              </w:rPr>
              <w:t xml:space="preserve">types and impacts </w:t>
            </w:r>
            <w:r w:rsidR="00876842">
              <w:rPr>
                <w:sz w:val="22"/>
                <w:szCs w:val="22"/>
              </w:rPr>
              <w:t>by building type</w:t>
            </w:r>
            <w:r w:rsidR="006B5578">
              <w:rPr>
                <w:sz w:val="22"/>
                <w:szCs w:val="22"/>
              </w:rPr>
              <w:t xml:space="preserve">s and system types. </w:t>
            </w:r>
          </w:p>
        </w:tc>
        <w:tc>
          <w:tcPr>
            <w:tcW w:w="2790" w:type="dxa"/>
            <w:vAlign w:val="center"/>
          </w:tcPr>
          <w:p w14:paraId="216FA326" w14:textId="6E602C85" w:rsidR="00CD5F88" w:rsidRDefault="00CD5F88" w:rsidP="00CD5F88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Piljae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</w:t>
            </w:r>
            <w:proofErr w:type="spellEnd"/>
            <w:r w:rsidR="00471A32">
              <w:rPr>
                <w:sz w:val="22"/>
                <w:szCs w:val="22"/>
              </w:rPr>
              <w:t xml:space="preserve"> (Chicago)</w:t>
            </w:r>
          </w:p>
        </w:tc>
      </w:tr>
      <w:tr w:rsidR="00CD5F88" w:rsidRPr="00621CB5" w14:paraId="6D97E718" w14:textId="77777777" w:rsidTr="00B960E0">
        <w:tc>
          <w:tcPr>
            <w:tcW w:w="1113" w:type="dxa"/>
            <w:vAlign w:val="center"/>
          </w:tcPr>
          <w:p w14:paraId="6AB472B3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27A12F98" w14:textId="00E9B4A4" w:rsidR="00CD5F88" w:rsidRDefault="00CD5F88" w:rsidP="009F53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Facility User of FDDs (90 FDD owners, savings, best practice)</w:t>
            </w:r>
            <w:r w:rsidR="009F539C">
              <w:rPr>
                <w:sz w:val="22"/>
                <w:szCs w:val="22"/>
              </w:rPr>
              <w:t xml:space="preserve">, </w:t>
            </w:r>
            <w:r w:rsidRPr="009F539C">
              <w:rPr>
                <w:sz w:val="22"/>
                <w:szCs w:val="22"/>
              </w:rPr>
              <w:t>FDD for Roof Top Unit</w:t>
            </w:r>
          </w:p>
        </w:tc>
        <w:tc>
          <w:tcPr>
            <w:tcW w:w="2790" w:type="dxa"/>
            <w:vAlign w:val="center"/>
          </w:tcPr>
          <w:p w14:paraId="29ACD79D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Guanjing</w:t>
            </w:r>
            <w:proofErr w:type="spellEnd"/>
            <w:r>
              <w:rPr>
                <w:sz w:val="22"/>
                <w:szCs w:val="22"/>
              </w:rPr>
              <w:t xml:space="preserve"> Lin, Orlando </w:t>
            </w:r>
          </w:p>
          <w:p w14:paraId="6DABA9A4" w14:textId="78D33F1A" w:rsidR="00CD5F88" w:rsidRDefault="00CD5F88" w:rsidP="00CD5F88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Durak</w:t>
            </w:r>
            <w:proofErr w:type="spellEnd"/>
            <w:r w:rsidR="006C006F">
              <w:rPr>
                <w:sz w:val="22"/>
                <w:szCs w:val="22"/>
              </w:rPr>
              <w:t xml:space="preserve"> </w:t>
            </w:r>
          </w:p>
        </w:tc>
      </w:tr>
      <w:tr w:rsidR="00CD5F88" w:rsidRPr="00621CB5" w14:paraId="6E451611" w14:textId="77777777" w:rsidTr="00B960E0">
        <w:tc>
          <w:tcPr>
            <w:tcW w:w="1113" w:type="dxa"/>
            <w:vAlign w:val="center"/>
          </w:tcPr>
          <w:p w14:paraId="10B94E29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2FF84334" w14:textId="0D1E8E6B" w:rsidR="00CD5F88" w:rsidRDefault="00CD5F88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Residential FDD </w:t>
            </w:r>
            <w:r w:rsidR="008E63B7">
              <w:rPr>
                <w:sz w:val="22"/>
                <w:szCs w:val="22"/>
              </w:rPr>
              <w:t>(</w:t>
            </w:r>
            <w:proofErr w:type="spellStart"/>
            <w:r w:rsidR="008E63B7">
              <w:rPr>
                <w:sz w:val="22"/>
                <w:szCs w:val="22"/>
              </w:rPr>
              <w:t>multip</w:t>
            </w:r>
            <w:proofErr w:type="spellEnd"/>
            <w:r w:rsidR="008E63B7">
              <w:rPr>
                <w:sz w:val="22"/>
                <w:szCs w:val="22"/>
              </w:rPr>
              <w:t xml:space="preserve"> family </w:t>
            </w:r>
            <w:r w:rsidR="00FE42C9">
              <w:rPr>
                <w:sz w:val="22"/>
                <w:szCs w:val="22"/>
              </w:rPr>
              <w:t xml:space="preserve">residential buildings) </w:t>
            </w:r>
            <w:proofErr w:type="spellStart"/>
            <w:r w:rsidR="00FE42C9">
              <w:rPr>
                <w:sz w:val="22"/>
                <w:szCs w:val="22"/>
              </w:rPr>
              <w:t>rev</w:t>
            </w:r>
            <w:r w:rsidR="009F539C">
              <w:rPr>
                <w:sz w:val="22"/>
                <w:szCs w:val="22"/>
              </w:rPr>
              <w:t>I</w:t>
            </w:r>
            <w:r w:rsidR="00FE42C9">
              <w:rPr>
                <w:sz w:val="22"/>
                <w:szCs w:val="22"/>
              </w:rPr>
              <w:t>ew</w:t>
            </w:r>
            <w:proofErr w:type="spellEnd"/>
            <w:r w:rsidR="00FE42C9">
              <w:rPr>
                <w:sz w:val="22"/>
                <w:szCs w:val="22"/>
              </w:rPr>
              <w:t xml:space="preserve"> of FDD on residentials. </w:t>
            </w:r>
          </w:p>
        </w:tc>
        <w:tc>
          <w:tcPr>
            <w:tcW w:w="2790" w:type="dxa"/>
            <w:vAlign w:val="center"/>
          </w:tcPr>
          <w:p w14:paraId="6236E03B" w14:textId="7BCE3D04" w:rsidR="00CD5F88" w:rsidRDefault="00CD5F88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Yuill </w:t>
            </w:r>
          </w:p>
        </w:tc>
      </w:tr>
      <w:tr w:rsidR="00CD5F88" w:rsidRPr="00621CB5" w14:paraId="3946FF35" w14:textId="77777777" w:rsidTr="00B960E0">
        <w:tc>
          <w:tcPr>
            <w:tcW w:w="1113" w:type="dxa"/>
            <w:vAlign w:val="center"/>
          </w:tcPr>
          <w:p w14:paraId="51BA54F3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7459D17B" w14:textId="7A09534F" w:rsidR="00CD5F88" w:rsidRDefault="00CD5F88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Big Data analysis for AFDD </w:t>
            </w:r>
          </w:p>
        </w:tc>
        <w:tc>
          <w:tcPr>
            <w:tcW w:w="2790" w:type="dxa"/>
            <w:vAlign w:val="center"/>
          </w:tcPr>
          <w:p w14:paraId="34C65F69" w14:textId="54B4FD13" w:rsidR="00CD5F88" w:rsidRDefault="00CD5F88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Jin wen </w:t>
            </w:r>
          </w:p>
        </w:tc>
      </w:tr>
      <w:tr w:rsidR="00AD52A3" w:rsidRPr="00621CB5" w14:paraId="5917F090" w14:textId="77777777" w:rsidTr="00B960E0">
        <w:tc>
          <w:tcPr>
            <w:tcW w:w="1113" w:type="dxa"/>
            <w:vAlign w:val="center"/>
          </w:tcPr>
          <w:p w14:paraId="26609068" w14:textId="77777777" w:rsidR="00AD52A3" w:rsidRDefault="00AD52A3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6190AFF5" w14:textId="2225C314" w:rsidR="00AD52A3" w:rsidRDefault="00FD4CAB" w:rsidP="00CD5F88">
            <w:pPr>
              <w:snapToGrid w:val="0"/>
              <w:rPr>
                <w:sz w:val="22"/>
                <w:szCs w:val="22"/>
              </w:rPr>
            </w:pPr>
            <w:r w:rsidRPr="009F539C">
              <w:rPr>
                <w:sz w:val="22"/>
                <w:szCs w:val="22"/>
              </w:rPr>
              <w:t xml:space="preserve">New idea: </w:t>
            </w:r>
            <w:r w:rsidR="00AD52A3" w:rsidRPr="009F539C">
              <w:rPr>
                <w:sz w:val="22"/>
                <w:szCs w:val="22"/>
              </w:rPr>
              <w:t xml:space="preserve">User’s experiences with FDD? </w:t>
            </w:r>
            <w:r w:rsidR="005D0E5E" w:rsidRPr="009F539C">
              <w:rPr>
                <w:sz w:val="22"/>
                <w:szCs w:val="22"/>
              </w:rPr>
              <w:t>How do users respond to the alarms, correct or false?</w:t>
            </w:r>
            <w:r w:rsidR="005D0E5E" w:rsidRPr="00C30C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06BB4377" w14:textId="6F78E5D7" w:rsidR="00AD52A3" w:rsidRPr="00C30CC4" w:rsidRDefault="005C126F" w:rsidP="00CD5F88">
            <w:pPr>
              <w:snapToGrid w:val="0"/>
              <w:rPr>
                <w:color w:val="FF0000"/>
                <w:sz w:val="22"/>
                <w:szCs w:val="22"/>
              </w:rPr>
            </w:pPr>
            <w:r w:rsidRPr="009F539C">
              <w:rPr>
                <w:color w:val="000000" w:themeColor="text1"/>
                <w:sz w:val="22"/>
                <w:szCs w:val="22"/>
              </w:rPr>
              <w:t>Austin Rodgers</w:t>
            </w:r>
            <w:r w:rsidR="003E346A" w:rsidRPr="009F539C">
              <w:rPr>
                <w:color w:val="000000" w:themeColor="text1"/>
                <w:sz w:val="22"/>
                <w:szCs w:val="22"/>
              </w:rPr>
              <w:t>, PNNL</w:t>
            </w:r>
          </w:p>
        </w:tc>
      </w:tr>
      <w:tr w:rsidR="00CD5F88" w:rsidRPr="00621CB5" w14:paraId="517BC7A0" w14:textId="77777777" w:rsidTr="00B960E0">
        <w:tc>
          <w:tcPr>
            <w:tcW w:w="1113" w:type="dxa"/>
            <w:vAlign w:val="center"/>
          </w:tcPr>
          <w:p w14:paraId="28ED87AD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3B7AD1FD" w14:textId="1E4084DA" w:rsidR="00CD5F88" w:rsidRPr="001F50B5" w:rsidRDefault="00CD5F88" w:rsidP="00CD5F88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New idea</w:t>
            </w:r>
            <w:r>
              <w:rPr>
                <w:rFonts w:hint="eastAsia"/>
                <w:sz w:val="22"/>
                <w:szCs w:val="22"/>
                <w:lang w:eastAsia="zh-CN"/>
              </w:rPr>
              <w:t>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790" w:type="dxa"/>
            <w:vAlign w:val="center"/>
          </w:tcPr>
          <w:p w14:paraId="71D69E17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</w:p>
        </w:tc>
      </w:tr>
      <w:tr w:rsidR="00CD5F88" w:rsidRPr="00621CB5" w14:paraId="653FD340" w14:textId="77777777" w:rsidTr="00B960E0">
        <w:tc>
          <w:tcPr>
            <w:tcW w:w="1113" w:type="dxa"/>
            <w:vAlign w:val="center"/>
          </w:tcPr>
          <w:p w14:paraId="14A614ED" w14:textId="3D7D0423" w:rsidR="00CD5F88" w:rsidRDefault="00CD5F88" w:rsidP="00CD5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min</w:t>
            </w:r>
          </w:p>
        </w:tc>
        <w:tc>
          <w:tcPr>
            <w:tcW w:w="5400" w:type="dxa"/>
            <w:vAlign w:val="center"/>
          </w:tcPr>
          <w:p w14:paraId="427D8CBB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  <w:r w:rsidRPr="0020255E">
              <w:rPr>
                <w:b/>
                <w:sz w:val="22"/>
                <w:szCs w:val="22"/>
              </w:rPr>
              <w:t>Update/Discussion of Active project/RTARs/Work Statement</w:t>
            </w:r>
          </w:p>
        </w:tc>
        <w:tc>
          <w:tcPr>
            <w:tcW w:w="2790" w:type="dxa"/>
            <w:vAlign w:val="center"/>
          </w:tcPr>
          <w:p w14:paraId="658CCA75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</w:p>
        </w:tc>
      </w:tr>
      <w:tr w:rsidR="00CD5F88" w:rsidRPr="00621CB5" w14:paraId="439E2D0A" w14:textId="77777777" w:rsidTr="00B960E0">
        <w:tc>
          <w:tcPr>
            <w:tcW w:w="1113" w:type="dxa"/>
            <w:vAlign w:val="center"/>
          </w:tcPr>
          <w:p w14:paraId="00E35CDC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2D6E1394" w14:textId="7B48D997" w:rsidR="00CD5F88" w:rsidRPr="00EB751F" w:rsidRDefault="00CD5F88" w:rsidP="00CD5F88">
            <w:pPr>
              <w:snapToGrid w:val="0"/>
              <w:rPr>
                <w:sz w:val="22"/>
                <w:szCs w:val="22"/>
              </w:rPr>
            </w:pPr>
            <w:r w:rsidRPr="00EB751F">
              <w:rPr>
                <w:sz w:val="22"/>
                <w:szCs w:val="22"/>
              </w:rPr>
              <w:t>Development of AFDD for leakage of ground-source heat pumps (</w:t>
            </w:r>
            <w:r>
              <w:rPr>
                <w:sz w:val="22"/>
                <w:szCs w:val="22"/>
              </w:rPr>
              <w:t>work statement revision</w:t>
            </w:r>
            <w:r w:rsidRPr="00EB751F">
              <w:rPr>
                <w:sz w:val="22"/>
                <w:szCs w:val="22"/>
              </w:rPr>
              <w:t>)</w:t>
            </w:r>
          </w:p>
        </w:tc>
        <w:tc>
          <w:tcPr>
            <w:tcW w:w="2790" w:type="dxa"/>
            <w:vAlign w:val="center"/>
          </w:tcPr>
          <w:p w14:paraId="29D8E250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  <w:r w:rsidRPr="00EB751F">
              <w:rPr>
                <w:sz w:val="22"/>
                <w:szCs w:val="22"/>
              </w:rPr>
              <w:t xml:space="preserve">Zheng O’Neill and </w:t>
            </w:r>
            <w:r>
              <w:rPr>
                <w:sz w:val="22"/>
                <w:szCs w:val="22"/>
              </w:rPr>
              <w:t>Kristen</w:t>
            </w:r>
            <w:r w:rsidRPr="00EB751F">
              <w:rPr>
                <w:sz w:val="22"/>
                <w:szCs w:val="22"/>
              </w:rPr>
              <w:t xml:space="preserve"> Cetin</w:t>
            </w:r>
            <w:r>
              <w:rPr>
                <w:sz w:val="22"/>
                <w:szCs w:val="22"/>
              </w:rPr>
              <w:t xml:space="preserve"> </w:t>
            </w:r>
          </w:p>
          <w:p w14:paraId="72F1DC52" w14:textId="033FCC07" w:rsidR="00CD5F88" w:rsidRDefault="00CD5F88" w:rsidP="00CD5F88">
            <w:pPr>
              <w:snapToGrid w:val="0"/>
              <w:rPr>
                <w:sz w:val="22"/>
                <w:szCs w:val="22"/>
              </w:rPr>
            </w:pPr>
          </w:p>
        </w:tc>
      </w:tr>
      <w:tr w:rsidR="00C067BA" w:rsidRPr="00621CB5" w14:paraId="28EC7A6F" w14:textId="77777777" w:rsidTr="00B960E0">
        <w:tc>
          <w:tcPr>
            <w:tcW w:w="1113" w:type="dxa"/>
            <w:vAlign w:val="center"/>
          </w:tcPr>
          <w:p w14:paraId="6871C5B5" w14:textId="77777777" w:rsidR="00C067BA" w:rsidRDefault="00C067BA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6FBA8D4A" w14:textId="40721D71" w:rsidR="00C067BA" w:rsidRPr="00EB751F" w:rsidRDefault="00C067BA" w:rsidP="00CD5F88">
            <w:pPr>
              <w:snapToGrid w:val="0"/>
              <w:rPr>
                <w:sz w:val="22"/>
                <w:szCs w:val="22"/>
              </w:rPr>
            </w:pPr>
            <w:r w:rsidRPr="00C067BA">
              <w:rPr>
                <w:sz w:val="22"/>
                <w:szCs w:val="22"/>
              </w:rPr>
              <w:t>Evaluation of ASHRAE Standard 207P</w:t>
            </w:r>
          </w:p>
        </w:tc>
        <w:tc>
          <w:tcPr>
            <w:tcW w:w="2790" w:type="dxa"/>
            <w:vAlign w:val="center"/>
          </w:tcPr>
          <w:p w14:paraId="62CB363C" w14:textId="767A04CB" w:rsidR="00C067BA" w:rsidRPr="00EB751F" w:rsidRDefault="00C067BA" w:rsidP="00CD5F88">
            <w:pPr>
              <w:snapToGrid w:val="0"/>
              <w:rPr>
                <w:sz w:val="22"/>
                <w:szCs w:val="22"/>
              </w:rPr>
            </w:pPr>
            <w:r w:rsidRPr="00C067BA">
              <w:rPr>
                <w:sz w:val="22"/>
                <w:szCs w:val="22"/>
              </w:rPr>
              <w:t>David Shipley</w:t>
            </w:r>
            <w:r w:rsidR="009F539C">
              <w:rPr>
                <w:sz w:val="22"/>
                <w:szCs w:val="22"/>
              </w:rPr>
              <w:t>, Kim</w:t>
            </w:r>
            <w:r w:rsidR="00041B30">
              <w:rPr>
                <w:sz w:val="22"/>
                <w:szCs w:val="22"/>
              </w:rPr>
              <w:t xml:space="preserve"> </w:t>
            </w:r>
            <w:r w:rsidR="00041B30" w:rsidRPr="00041B30">
              <w:rPr>
                <w:sz w:val="22"/>
                <w:szCs w:val="22"/>
              </w:rPr>
              <w:t>Barker</w:t>
            </w:r>
            <w:r w:rsidR="001308F1">
              <w:rPr>
                <w:sz w:val="22"/>
                <w:szCs w:val="22"/>
              </w:rPr>
              <w:t xml:space="preserve"> </w:t>
            </w:r>
          </w:p>
        </w:tc>
      </w:tr>
      <w:tr w:rsidR="00CD5F88" w:rsidRPr="00621CB5" w14:paraId="348934A6" w14:textId="77777777" w:rsidTr="00B960E0">
        <w:tc>
          <w:tcPr>
            <w:tcW w:w="1113" w:type="dxa"/>
            <w:vAlign w:val="center"/>
          </w:tcPr>
          <w:p w14:paraId="2632A270" w14:textId="77777777" w:rsidR="00CD5F88" w:rsidRPr="001B505E" w:rsidRDefault="00CD5F88" w:rsidP="00CD5F8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7F8E794D" w14:textId="77777777" w:rsidR="00CD5F88" w:rsidRPr="001B505E" w:rsidRDefault="00CD5F88" w:rsidP="00CD5F88">
            <w:pPr>
              <w:snapToGrid w:val="0"/>
              <w:rPr>
                <w:b/>
                <w:sz w:val="22"/>
                <w:szCs w:val="22"/>
              </w:rPr>
            </w:pPr>
            <w:r w:rsidRPr="001B505E">
              <w:rPr>
                <w:b/>
                <w:sz w:val="22"/>
                <w:szCs w:val="22"/>
              </w:rPr>
              <w:t>New Research Ideas</w:t>
            </w:r>
          </w:p>
        </w:tc>
        <w:tc>
          <w:tcPr>
            <w:tcW w:w="2790" w:type="dxa"/>
            <w:vAlign w:val="center"/>
          </w:tcPr>
          <w:p w14:paraId="17D07E47" w14:textId="77777777" w:rsidR="00CD5F88" w:rsidRPr="0074672E" w:rsidRDefault="00CD5F88" w:rsidP="00CD5F88">
            <w:pPr>
              <w:snapToGrid w:val="0"/>
              <w:rPr>
                <w:sz w:val="22"/>
                <w:szCs w:val="22"/>
              </w:rPr>
            </w:pPr>
          </w:p>
        </w:tc>
      </w:tr>
      <w:tr w:rsidR="00CD5F88" w:rsidRPr="00621CB5" w14:paraId="585244B1" w14:textId="77777777" w:rsidTr="00B960E0">
        <w:tc>
          <w:tcPr>
            <w:tcW w:w="1113" w:type="dxa"/>
            <w:vAlign w:val="center"/>
          </w:tcPr>
          <w:p w14:paraId="0EB58964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656486EF" w14:textId="77777777" w:rsidR="00CD5F88" w:rsidRPr="0074672E" w:rsidRDefault="00CD5F88" w:rsidP="00CD5F88">
            <w:pPr>
              <w:snapToGrid w:val="0"/>
              <w:rPr>
                <w:sz w:val="22"/>
                <w:szCs w:val="22"/>
              </w:rPr>
            </w:pPr>
            <w:r w:rsidRPr="0074672E">
              <w:rPr>
                <w:sz w:val="22"/>
                <w:szCs w:val="22"/>
              </w:rPr>
              <w:t xml:space="preserve">RTAR idea: collect, clean, and label existing data for FDD research.  </w:t>
            </w:r>
          </w:p>
          <w:p w14:paraId="5C997536" w14:textId="77777777" w:rsidR="00CD5F88" w:rsidRDefault="00CD5F88" w:rsidP="00CD5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E7E19C7" w14:textId="335D89B1" w:rsidR="00CD5F88" w:rsidRDefault="00CD5F88" w:rsidP="00CD5F88">
            <w:pPr>
              <w:snapToGrid w:val="0"/>
              <w:rPr>
                <w:sz w:val="22"/>
                <w:szCs w:val="22"/>
              </w:rPr>
            </w:pPr>
            <w:r w:rsidRPr="0074672E">
              <w:rPr>
                <w:sz w:val="22"/>
                <w:szCs w:val="22"/>
              </w:rPr>
              <w:t>Xiwang Li, Liping Wang, Kristen</w:t>
            </w:r>
            <w:r>
              <w:rPr>
                <w:sz w:val="22"/>
                <w:szCs w:val="22"/>
              </w:rPr>
              <w:t xml:space="preserve"> Cetin</w:t>
            </w:r>
            <w:r w:rsidRPr="0074672E">
              <w:rPr>
                <w:sz w:val="22"/>
                <w:szCs w:val="22"/>
              </w:rPr>
              <w:t xml:space="preserve">. Shawn Shi </w:t>
            </w:r>
          </w:p>
          <w:p w14:paraId="06327229" w14:textId="161D03F3" w:rsidR="00CD5F88" w:rsidRDefault="00CD5F88" w:rsidP="009F539C">
            <w:pPr>
              <w:snapToGrid w:val="0"/>
              <w:rPr>
                <w:sz w:val="22"/>
                <w:szCs w:val="22"/>
              </w:rPr>
            </w:pPr>
          </w:p>
        </w:tc>
      </w:tr>
      <w:tr w:rsidR="00EA1005" w:rsidRPr="00621CB5" w14:paraId="3C0637BC" w14:textId="77777777" w:rsidTr="00D31E01">
        <w:trPr>
          <w:trHeight w:val="1083"/>
        </w:trPr>
        <w:tc>
          <w:tcPr>
            <w:tcW w:w="1113" w:type="dxa"/>
            <w:vAlign w:val="center"/>
          </w:tcPr>
          <w:p w14:paraId="7890E0D0" w14:textId="77777777" w:rsidR="00EA1005" w:rsidRDefault="00EA1005" w:rsidP="00EA10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690D7DE7" w14:textId="7E5C273A" w:rsidR="00EA1005" w:rsidRDefault="00EA1005" w:rsidP="00D31E01">
            <w:pPr>
              <w:snapToGrid w:val="0"/>
              <w:rPr>
                <w:sz w:val="22"/>
                <w:szCs w:val="22"/>
              </w:rPr>
            </w:pPr>
            <w:r w:rsidRPr="007D6BD0">
              <w:rPr>
                <w:sz w:val="22"/>
                <w:szCs w:val="22"/>
              </w:rPr>
              <w:t>Automated Alarm Management: DDC alarms used for FDD? (automated analytics to correct alarms or utilize alarms) – retu</w:t>
            </w:r>
            <w:r>
              <w:rPr>
                <w:sz w:val="22"/>
                <w:szCs w:val="22"/>
              </w:rPr>
              <w:t>r</w:t>
            </w:r>
            <w:r w:rsidRPr="007D6BD0">
              <w:rPr>
                <w:sz w:val="22"/>
                <w:szCs w:val="22"/>
              </w:rPr>
              <w:t>n the threshold to reduce false alarms in an automated process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90" w:type="dxa"/>
            <w:vAlign w:val="center"/>
          </w:tcPr>
          <w:p w14:paraId="3E3A7E35" w14:textId="77777777" w:rsidR="00EA1005" w:rsidRPr="0020255E" w:rsidRDefault="00EA1005" w:rsidP="00EA1005">
            <w:pPr>
              <w:snapToGrid w:val="0"/>
              <w:rPr>
                <w:sz w:val="22"/>
                <w:szCs w:val="22"/>
              </w:rPr>
            </w:pPr>
            <w:r w:rsidRPr="0020255E">
              <w:rPr>
                <w:sz w:val="22"/>
                <w:szCs w:val="22"/>
              </w:rPr>
              <w:t>Carol Lomonaco</w:t>
            </w:r>
            <w:r>
              <w:rPr>
                <w:sz w:val="22"/>
                <w:szCs w:val="22"/>
              </w:rPr>
              <w:t>;</w:t>
            </w:r>
          </w:p>
          <w:p w14:paraId="45A3E7F3" w14:textId="075B24BD" w:rsidR="00EA1005" w:rsidRPr="006F6778" w:rsidRDefault="00EA1005" w:rsidP="00D31E01">
            <w:pPr>
              <w:snapToGrid w:val="0"/>
              <w:rPr>
                <w:sz w:val="22"/>
                <w:szCs w:val="22"/>
              </w:rPr>
            </w:pPr>
            <w:r w:rsidRPr="0020255E">
              <w:rPr>
                <w:sz w:val="22"/>
                <w:szCs w:val="22"/>
              </w:rPr>
              <w:t xml:space="preserve">Reinhard </w:t>
            </w:r>
            <w:proofErr w:type="spellStart"/>
            <w:r w:rsidRPr="0020255E">
              <w:rPr>
                <w:sz w:val="22"/>
                <w:szCs w:val="22"/>
              </w:rPr>
              <w:t>Seidl</w:t>
            </w:r>
            <w:proofErr w:type="spellEnd"/>
            <w:r w:rsidRPr="0020255E">
              <w:rPr>
                <w:sz w:val="22"/>
                <w:szCs w:val="22"/>
              </w:rPr>
              <w:t xml:space="preserve">, Li Song, </w:t>
            </w:r>
            <w:proofErr w:type="spellStart"/>
            <w:r w:rsidRPr="0020255E">
              <w:rPr>
                <w:sz w:val="22"/>
                <w:szCs w:val="22"/>
              </w:rPr>
              <w:t>Te</w:t>
            </w:r>
            <w:proofErr w:type="spellEnd"/>
            <w:r w:rsidRPr="0020255E">
              <w:rPr>
                <w:sz w:val="22"/>
                <w:szCs w:val="22"/>
              </w:rPr>
              <w:t xml:space="preserve"> Qi, John Wallace</w:t>
            </w:r>
          </w:p>
        </w:tc>
      </w:tr>
      <w:tr w:rsidR="00EA1005" w:rsidRPr="00621CB5" w14:paraId="4E9F6609" w14:textId="77777777" w:rsidTr="00B960E0">
        <w:tc>
          <w:tcPr>
            <w:tcW w:w="1113" w:type="dxa"/>
            <w:vAlign w:val="center"/>
          </w:tcPr>
          <w:p w14:paraId="770C72D7" w14:textId="77777777" w:rsidR="00EA1005" w:rsidRDefault="00EA1005" w:rsidP="00EA10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339E99FE" w14:textId="12C46FBC" w:rsidR="00EA1005" w:rsidRDefault="00EA1005" w:rsidP="00EA100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 w:rsidR="00905D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research should TC 7.5 provide to </w:t>
            </w:r>
            <w:r w:rsidR="001668D1">
              <w:rPr>
                <w:sz w:val="22"/>
                <w:szCs w:val="22"/>
              </w:rPr>
              <w:t xml:space="preserve">use the FDD results to </w:t>
            </w:r>
            <w:r>
              <w:rPr>
                <w:sz w:val="22"/>
                <w:szCs w:val="22"/>
              </w:rPr>
              <w:t>support the energy</w:t>
            </w:r>
            <w:r w:rsidR="00EE7C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saving requirement for Standard 90.1 and 189.1?   </w:t>
            </w:r>
            <w:r w:rsidR="00041B30">
              <w:rPr>
                <w:sz w:val="22"/>
                <w:szCs w:val="22"/>
              </w:rPr>
              <w:t>W</w:t>
            </w:r>
            <w:r w:rsidR="004D79DF">
              <w:rPr>
                <w:sz w:val="22"/>
                <w:szCs w:val="22"/>
              </w:rPr>
              <w:t xml:space="preserve">hat is the minimum requirement for the 90.1? </w:t>
            </w:r>
            <w:r w:rsidR="00036FC4">
              <w:rPr>
                <w:sz w:val="22"/>
                <w:szCs w:val="22"/>
              </w:rPr>
              <w:t>A</w:t>
            </w:r>
            <w:r w:rsidR="00036FC4" w:rsidRPr="00036FC4">
              <w:rPr>
                <w:sz w:val="22"/>
                <w:szCs w:val="22"/>
              </w:rPr>
              <w:t>n internal TC7</w:t>
            </w:r>
            <w:r w:rsidR="007879C7">
              <w:rPr>
                <w:sz w:val="22"/>
                <w:szCs w:val="22"/>
              </w:rPr>
              <w:t>.</w:t>
            </w:r>
            <w:r w:rsidR="00036FC4" w:rsidRPr="00036FC4">
              <w:rPr>
                <w:sz w:val="22"/>
                <w:szCs w:val="22"/>
              </w:rPr>
              <w:t xml:space="preserve">5 </w:t>
            </w:r>
            <w:r w:rsidR="009522F6">
              <w:rPr>
                <w:sz w:val="22"/>
                <w:szCs w:val="22"/>
              </w:rPr>
              <w:t xml:space="preserve">meeting. </w:t>
            </w:r>
          </w:p>
        </w:tc>
        <w:tc>
          <w:tcPr>
            <w:tcW w:w="2790" w:type="dxa"/>
            <w:vAlign w:val="center"/>
          </w:tcPr>
          <w:p w14:paraId="136B2FFD" w14:textId="00F9D958" w:rsidR="00036FC4" w:rsidRPr="0043040E" w:rsidRDefault="00036FC4" w:rsidP="00036FC4">
            <w:pPr>
              <w:snapToGrid w:val="0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Guanjing</w:t>
            </w:r>
            <w:proofErr w:type="spellEnd"/>
            <w:r>
              <w:rPr>
                <w:sz w:val="22"/>
                <w:szCs w:val="22"/>
              </w:rPr>
              <w:t xml:space="preserve"> Lin and Kim </w:t>
            </w:r>
          </w:p>
          <w:p w14:paraId="668670B9" w14:textId="1EBEA2D3" w:rsidR="00EC5FB1" w:rsidRPr="006F6778" w:rsidRDefault="00EC5FB1" w:rsidP="00EA1005">
            <w:pPr>
              <w:snapToGrid w:val="0"/>
              <w:rPr>
                <w:sz w:val="22"/>
                <w:szCs w:val="22"/>
              </w:rPr>
            </w:pPr>
          </w:p>
        </w:tc>
      </w:tr>
      <w:tr w:rsidR="00AD4CDD" w:rsidRPr="00621CB5" w14:paraId="1A3ACC0F" w14:textId="77777777" w:rsidTr="00B960E0"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7BB44" w14:textId="77777777" w:rsidR="00AD4CDD" w:rsidRDefault="00AD4CDD" w:rsidP="00EA10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7F6C4" w14:textId="6C1BB132" w:rsidR="00AD4CDD" w:rsidRPr="00AD4CDD" w:rsidRDefault="00AD4CDD" w:rsidP="00EA1005">
            <w:pPr>
              <w:snapToGrid w:val="0"/>
              <w:rPr>
                <w:bCs/>
                <w:sz w:val="22"/>
                <w:szCs w:val="22"/>
              </w:rPr>
            </w:pPr>
            <w:r w:rsidRPr="00036FC4">
              <w:rPr>
                <w:bCs/>
                <w:sz w:val="22"/>
                <w:szCs w:val="22"/>
              </w:rPr>
              <w:t>User experience and organization adoption of FDD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2BFF4" w14:textId="77777777" w:rsidR="00AD4CDD" w:rsidRPr="00641FC6" w:rsidRDefault="00AD4CDD" w:rsidP="00EA1005">
            <w:pPr>
              <w:snapToGrid w:val="0"/>
              <w:rPr>
                <w:sz w:val="22"/>
                <w:szCs w:val="22"/>
              </w:rPr>
            </w:pPr>
          </w:p>
        </w:tc>
      </w:tr>
      <w:tr w:rsidR="00EA1005" w:rsidRPr="00621CB5" w14:paraId="5B5697A0" w14:textId="77777777" w:rsidTr="00B960E0"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4F4B2" w14:textId="2DEFC143" w:rsidR="00EA1005" w:rsidRDefault="00EA1005" w:rsidP="00EA100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min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C42DB" w14:textId="3924A708" w:rsidR="00EA1005" w:rsidRPr="009A549E" w:rsidRDefault="00EA1005" w:rsidP="00EA100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</w:t>
            </w:r>
            <w:r w:rsidRPr="009A549E">
              <w:rPr>
                <w:b/>
                <w:sz w:val="22"/>
                <w:szCs w:val="22"/>
              </w:rPr>
              <w:t xml:space="preserve"> ideas and discussions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D9E82" w14:textId="64392F4E" w:rsidR="00EA1005" w:rsidRPr="00641FC6" w:rsidRDefault="00EA1005" w:rsidP="00EA1005">
            <w:pPr>
              <w:snapToGrid w:val="0"/>
              <w:rPr>
                <w:sz w:val="22"/>
                <w:szCs w:val="22"/>
              </w:rPr>
            </w:pPr>
          </w:p>
        </w:tc>
      </w:tr>
      <w:tr w:rsidR="00EA1005" w:rsidRPr="00621CB5" w14:paraId="3B9E53F0" w14:textId="77777777" w:rsidTr="00B960E0">
        <w:trPr>
          <w:trHeight w:val="70"/>
        </w:trPr>
        <w:tc>
          <w:tcPr>
            <w:tcW w:w="9303" w:type="dxa"/>
            <w:gridSpan w:val="3"/>
            <w:tcBorders>
              <w:top w:val="single" w:sz="4" w:space="0" w:color="auto"/>
            </w:tcBorders>
            <w:vAlign w:val="center"/>
          </w:tcPr>
          <w:p w14:paraId="2403AA05" w14:textId="77777777" w:rsidR="00EA1005" w:rsidRPr="00641FC6" w:rsidRDefault="00EA1005" w:rsidP="00EA100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</w:tr>
    </w:tbl>
    <w:p w14:paraId="4406FB06" w14:textId="77777777" w:rsidR="00C07907" w:rsidRPr="00F0163E" w:rsidRDefault="00C07907" w:rsidP="00C07907">
      <w:pPr>
        <w:spacing w:line="240" w:lineRule="exact"/>
        <w:ind w:right="-720"/>
        <w:rPr>
          <w:b/>
        </w:rPr>
      </w:pPr>
    </w:p>
    <w:p w14:paraId="5AD8F10A" w14:textId="77777777" w:rsidR="00C07907" w:rsidRDefault="00C07907" w:rsidP="00C07907">
      <w:pPr>
        <w:spacing w:line="240" w:lineRule="exact"/>
        <w:ind w:right="-720"/>
        <w:rPr>
          <w:b/>
        </w:rPr>
      </w:pPr>
      <w:r w:rsidRPr="00F0163E">
        <w:rPr>
          <w:b/>
        </w:rPr>
        <w:t xml:space="preserve"> </w:t>
      </w:r>
    </w:p>
    <w:sectPr w:rsidR="00C07907" w:rsidSect="00D3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E44D8" w14:textId="77777777" w:rsidR="00A67FEE" w:rsidRDefault="00A67FEE" w:rsidP="0052710E">
      <w:r>
        <w:separator/>
      </w:r>
    </w:p>
  </w:endnote>
  <w:endnote w:type="continuationSeparator" w:id="0">
    <w:p w14:paraId="73C94FAD" w14:textId="77777777" w:rsidR="00A67FEE" w:rsidRDefault="00A67FEE" w:rsidP="0052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78E4B" w14:textId="77777777" w:rsidR="00A67FEE" w:rsidRDefault="00A67FEE" w:rsidP="0052710E">
      <w:r>
        <w:separator/>
      </w:r>
    </w:p>
  </w:footnote>
  <w:footnote w:type="continuationSeparator" w:id="0">
    <w:p w14:paraId="2A4FA4B5" w14:textId="77777777" w:rsidR="00A67FEE" w:rsidRDefault="00A67FEE" w:rsidP="0052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589B"/>
    <w:multiLevelType w:val="hybridMultilevel"/>
    <w:tmpl w:val="FA3EC65A"/>
    <w:lvl w:ilvl="0" w:tplc="FB548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42B"/>
    <w:multiLevelType w:val="hybridMultilevel"/>
    <w:tmpl w:val="EE24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23392"/>
    <w:multiLevelType w:val="hybridMultilevel"/>
    <w:tmpl w:val="ED102758"/>
    <w:lvl w:ilvl="0" w:tplc="A2E476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F0B74"/>
    <w:multiLevelType w:val="hybridMultilevel"/>
    <w:tmpl w:val="154E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7017F"/>
    <w:multiLevelType w:val="hybridMultilevel"/>
    <w:tmpl w:val="3AC6171C"/>
    <w:lvl w:ilvl="0" w:tplc="A2E476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A08B9"/>
    <w:multiLevelType w:val="hybridMultilevel"/>
    <w:tmpl w:val="89C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4487E"/>
    <w:multiLevelType w:val="hybridMultilevel"/>
    <w:tmpl w:val="8AD6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MTEwMja1MLEwMjFT0lEKTi0uzszPAykwNKwFAJ1NKxEtAAAA"/>
  </w:docVars>
  <w:rsids>
    <w:rsidRoot w:val="00692616"/>
    <w:rsid w:val="0003075A"/>
    <w:rsid w:val="00036FC4"/>
    <w:rsid w:val="00041B30"/>
    <w:rsid w:val="00080288"/>
    <w:rsid w:val="00086558"/>
    <w:rsid w:val="000E3EB2"/>
    <w:rsid w:val="001308F1"/>
    <w:rsid w:val="001668D1"/>
    <w:rsid w:val="00191C25"/>
    <w:rsid w:val="001A1142"/>
    <w:rsid w:val="001D5394"/>
    <w:rsid w:val="00293B46"/>
    <w:rsid w:val="002D1587"/>
    <w:rsid w:val="002F3110"/>
    <w:rsid w:val="0032465D"/>
    <w:rsid w:val="00377CE5"/>
    <w:rsid w:val="003E346A"/>
    <w:rsid w:val="00411B13"/>
    <w:rsid w:val="0043040E"/>
    <w:rsid w:val="00454C51"/>
    <w:rsid w:val="00471A32"/>
    <w:rsid w:val="00472379"/>
    <w:rsid w:val="004769B1"/>
    <w:rsid w:val="00483D09"/>
    <w:rsid w:val="004D79DF"/>
    <w:rsid w:val="004E327F"/>
    <w:rsid w:val="004F5E36"/>
    <w:rsid w:val="0052710E"/>
    <w:rsid w:val="00533192"/>
    <w:rsid w:val="00533610"/>
    <w:rsid w:val="00552EE3"/>
    <w:rsid w:val="0058731A"/>
    <w:rsid w:val="005C126F"/>
    <w:rsid w:val="005C7061"/>
    <w:rsid w:val="005D0E5E"/>
    <w:rsid w:val="00622EF3"/>
    <w:rsid w:val="00664189"/>
    <w:rsid w:val="006747FA"/>
    <w:rsid w:val="00692616"/>
    <w:rsid w:val="006A0718"/>
    <w:rsid w:val="006B5578"/>
    <w:rsid w:val="006C006F"/>
    <w:rsid w:val="006C3835"/>
    <w:rsid w:val="006F543B"/>
    <w:rsid w:val="006F5550"/>
    <w:rsid w:val="006F6778"/>
    <w:rsid w:val="00732F9A"/>
    <w:rsid w:val="00774F32"/>
    <w:rsid w:val="007879C7"/>
    <w:rsid w:val="007A46AB"/>
    <w:rsid w:val="007A50B5"/>
    <w:rsid w:val="007E0406"/>
    <w:rsid w:val="007E5D3D"/>
    <w:rsid w:val="00876842"/>
    <w:rsid w:val="008940E9"/>
    <w:rsid w:val="008E4169"/>
    <w:rsid w:val="008E63B7"/>
    <w:rsid w:val="00905D2B"/>
    <w:rsid w:val="00907382"/>
    <w:rsid w:val="009434F0"/>
    <w:rsid w:val="009522F6"/>
    <w:rsid w:val="00957B71"/>
    <w:rsid w:val="00965C2D"/>
    <w:rsid w:val="009F539C"/>
    <w:rsid w:val="00A15A4F"/>
    <w:rsid w:val="00A21D71"/>
    <w:rsid w:val="00A23E6A"/>
    <w:rsid w:val="00A53A1A"/>
    <w:rsid w:val="00A67FEE"/>
    <w:rsid w:val="00AD4CDD"/>
    <w:rsid w:val="00AD52A3"/>
    <w:rsid w:val="00BC7496"/>
    <w:rsid w:val="00C067BA"/>
    <w:rsid w:val="00C06A02"/>
    <w:rsid w:val="00C07907"/>
    <w:rsid w:val="00C30CC4"/>
    <w:rsid w:val="00C42ED1"/>
    <w:rsid w:val="00C8708F"/>
    <w:rsid w:val="00CA729C"/>
    <w:rsid w:val="00CB4858"/>
    <w:rsid w:val="00CD5F88"/>
    <w:rsid w:val="00D31E01"/>
    <w:rsid w:val="00D900C1"/>
    <w:rsid w:val="00DA694A"/>
    <w:rsid w:val="00E019E2"/>
    <w:rsid w:val="00E461F0"/>
    <w:rsid w:val="00E806E2"/>
    <w:rsid w:val="00EA1005"/>
    <w:rsid w:val="00EC5FB1"/>
    <w:rsid w:val="00EE7CF1"/>
    <w:rsid w:val="00F05210"/>
    <w:rsid w:val="00F13907"/>
    <w:rsid w:val="00F3015C"/>
    <w:rsid w:val="00F56072"/>
    <w:rsid w:val="00F7149A"/>
    <w:rsid w:val="00F96316"/>
    <w:rsid w:val="00FC27CE"/>
    <w:rsid w:val="00FD4CAB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571E"/>
  <w15:chartTrackingRefBased/>
  <w15:docId w15:val="{534277B5-5E62-4024-A3CB-24A6BF90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9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C0790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9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31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cent-color">
    <w:name w:val="accent-color"/>
    <w:basedOn w:val="Normal"/>
    <w:rsid w:val="00533192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NormalWeb">
    <w:name w:val="Normal (Web)"/>
    <w:basedOn w:val="Normal"/>
    <w:uiPriority w:val="99"/>
    <w:unhideWhenUsed/>
    <w:rsid w:val="00533192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C87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E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10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0E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631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F539C"/>
    <w:rPr>
      <w:color w:val="605E5C"/>
      <w:shd w:val="clear" w:color="auto" w:fill="E1DFDD"/>
    </w:rPr>
  </w:style>
  <w:style w:type="character" w:customStyle="1" w:styleId="sessionlisttitle">
    <w:name w:val="sessionlisttitle"/>
    <w:basedOn w:val="DefaultParagraphFont"/>
    <w:rsid w:val="00664189"/>
  </w:style>
  <w:style w:type="character" w:customStyle="1" w:styleId="topdisplay">
    <w:name w:val="topdisplay"/>
    <w:basedOn w:val="DefaultParagraphFont"/>
    <w:rsid w:val="001A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940656350?pwd=WG9kYnF0bkdrY2NyZThTdE0yL3lm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hraem.confex.com/ashraem/s20/meetingapp.cgi/Paper/2768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shraem.confex.com/ashraem/s20/meetingapp.cgi/Paper/27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hraem.confex.com/ashraem/s20/meetingapp.cgi/Paper/27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 Wang</dc:creator>
  <cp:keywords/>
  <dc:description/>
  <cp:lastModifiedBy>LipingWang</cp:lastModifiedBy>
  <cp:revision>80</cp:revision>
  <dcterms:created xsi:type="dcterms:W3CDTF">2018-12-10T19:33:00Z</dcterms:created>
  <dcterms:modified xsi:type="dcterms:W3CDTF">2020-06-02T23:09:00Z</dcterms:modified>
</cp:coreProperties>
</file>