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12530B" w:rsidRPr="005D291F" w:rsidTr="00C73AB9">
        <w:trPr>
          <w:jc w:val="center"/>
        </w:trPr>
        <w:tc>
          <w:tcPr>
            <w:tcW w:w="9738" w:type="dxa"/>
          </w:tcPr>
          <w:p w:rsidR="0012530B" w:rsidRPr="00455F4A" w:rsidRDefault="001A5E09" w:rsidP="00C73AB9">
            <w:pPr>
              <w:pStyle w:val="Default"/>
              <w:spacing w:before="120" w:after="120"/>
              <w:ind w:left="346"/>
              <w:rPr>
                <w:rFonts w:ascii="Calibri" w:hAnsi="Calibri" w:cs="Calibri"/>
                <w:b/>
                <w:sz w:val="56"/>
              </w:rPr>
            </w:pPr>
            <w:r>
              <w:rPr>
                <w:rFonts w:cs="Calibri"/>
                <w:noProof/>
                <w:color w:val="221E1F"/>
              </w:rPr>
              <w:drawing>
                <wp:anchor distT="0" distB="0" distL="114300" distR="114300" simplePos="0" relativeHeight="251657728" behindDoc="0" locked="0" layoutInCell="1" allowOverlap="1">
                  <wp:simplePos x="0" y="0"/>
                  <wp:positionH relativeFrom="column">
                    <wp:posOffset>5128260</wp:posOffset>
                  </wp:positionH>
                  <wp:positionV relativeFrom="paragraph">
                    <wp:posOffset>161925</wp:posOffset>
                  </wp:positionV>
                  <wp:extent cx="809625" cy="552450"/>
                  <wp:effectExtent l="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30B" w:rsidRPr="005D291F">
              <w:rPr>
                <w:rFonts w:ascii="Calibri" w:hAnsi="Calibri" w:cs="Calibri"/>
                <w:color w:val="221E1F"/>
                <w:sz w:val="22"/>
                <w:szCs w:val="22"/>
              </w:rPr>
              <w:br w:type="page"/>
            </w:r>
            <w:r w:rsidR="0012530B" w:rsidRPr="005D291F">
              <w:rPr>
                <w:rFonts w:ascii="Calibri" w:hAnsi="Calibri" w:cs="Calibri"/>
                <w:sz w:val="18"/>
                <w:szCs w:val="18"/>
              </w:rPr>
              <w:br w:type="page"/>
            </w:r>
            <w:r w:rsidR="0012530B" w:rsidRPr="005D291F">
              <w:rPr>
                <w:rFonts w:ascii="Calibri" w:hAnsi="Calibri" w:cs="Calibri"/>
                <w:color w:val="auto"/>
                <w:sz w:val="20"/>
                <w:szCs w:val="20"/>
              </w:rPr>
              <w:br w:type="page"/>
            </w:r>
            <w:r w:rsidR="0012530B" w:rsidRPr="005D291F">
              <w:rPr>
                <w:rFonts w:ascii="Calibri" w:hAnsi="Calibri" w:cs="Calibri"/>
                <w:sz w:val="18"/>
                <w:szCs w:val="18"/>
              </w:rPr>
              <w:br w:type="page"/>
            </w:r>
            <w:r w:rsidR="0012530B" w:rsidRPr="005D291F">
              <w:rPr>
                <w:rFonts w:ascii="Calibri" w:hAnsi="Calibri" w:cs="Calibri"/>
                <w:sz w:val="18"/>
                <w:szCs w:val="18"/>
              </w:rPr>
              <w:br w:type="page"/>
            </w:r>
            <w:r w:rsidR="00BD3D24">
              <w:rPr>
                <w:rFonts w:ascii="Calibri" w:hAnsi="Calibri" w:cs="Calibri"/>
                <w:b/>
                <w:sz w:val="56"/>
              </w:rPr>
              <w:t>AGENDA</w:t>
            </w:r>
          </w:p>
          <w:p w:rsidR="0036446C" w:rsidRPr="003872BD" w:rsidRDefault="0036446C" w:rsidP="00C73AB9">
            <w:pPr>
              <w:ind w:left="351"/>
              <w:rPr>
                <w:rFonts w:ascii="Calibri" w:hAnsi="Calibri" w:cs="Calibri"/>
                <w:b/>
                <w:szCs w:val="24"/>
              </w:rPr>
            </w:pPr>
            <w:r w:rsidRPr="003872BD">
              <w:rPr>
                <w:rFonts w:ascii="Calibri" w:hAnsi="Calibri" w:cs="Calibri"/>
                <w:b/>
                <w:szCs w:val="24"/>
              </w:rPr>
              <w:t>TC 7.6 – Building Energy Performance</w:t>
            </w:r>
          </w:p>
          <w:p w:rsidR="0012530B" w:rsidRPr="005D291F" w:rsidRDefault="0012530B" w:rsidP="00C73AB9">
            <w:pPr>
              <w:ind w:left="351"/>
              <w:rPr>
                <w:rFonts w:ascii="Calibri" w:hAnsi="Calibri" w:cs="Calibri"/>
                <w:b/>
                <w:szCs w:val="24"/>
              </w:rPr>
            </w:pPr>
            <w:r w:rsidRPr="0012530B">
              <w:rPr>
                <w:rFonts w:ascii="Calibri" w:hAnsi="Calibri" w:cs="Calibri"/>
                <w:b/>
                <w:szCs w:val="24"/>
              </w:rPr>
              <w:t>Commercial Building Energy Audits Sub-committee</w:t>
            </w:r>
          </w:p>
          <w:p w:rsidR="0012530B" w:rsidRPr="005D291F" w:rsidRDefault="0012530B" w:rsidP="00C73AB9">
            <w:pPr>
              <w:ind w:left="351"/>
              <w:rPr>
                <w:rFonts w:ascii="Calibri" w:hAnsi="Calibri" w:cs="Calibri"/>
                <w:b/>
                <w:szCs w:val="24"/>
              </w:rPr>
            </w:pPr>
          </w:p>
          <w:p w:rsidR="0012530B" w:rsidRPr="005D291F" w:rsidRDefault="0012530B" w:rsidP="00C73AB9">
            <w:pPr>
              <w:ind w:left="360"/>
              <w:rPr>
                <w:rFonts w:ascii="Calibri" w:hAnsi="Calibri" w:cs="Calibri"/>
                <w:sz w:val="22"/>
                <w:szCs w:val="22"/>
              </w:rPr>
            </w:pPr>
            <w:r>
              <w:rPr>
                <w:rFonts w:ascii="Calibri" w:hAnsi="Calibri" w:cs="Calibri"/>
                <w:sz w:val="22"/>
                <w:szCs w:val="22"/>
              </w:rPr>
              <w:t>Sunday</w:t>
            </w:r>
            <w:r w:rsidRPr="005D291F">
              <w:rPr>
                <w:rFonts w:ascii="Calibri" w:hAnsi="Calibri" w:cs="Calibri"/>
                <w:sz w:val="22"/>
                <w:szCs w:val="22"/>
              </w:rPr>
              <w:t xml:space="preserve">, </w:t>
            </w:r>
            <w:r w:rsidR="00FF4D55">
              <w:rPr>
                <w:rFonts w:ascii="Calibri" w:hAnsi="Calibri" w:cs="Calibri"/>
                <w:sz w:val="22"/>
                <w:szCs w:val="22"/>
              </w:rPr>
              <w:t>June 26</w:t>
            </w:r>
            <w:r w:rsidR="00567610">
              <w:rPr>
                <w:rFonts w:ascii="Calibri" w:hAnsi="Calibri" w:cs="Calibri"/>
                <w:sz w:val="22"/>
                <w:szCs w:val="22"/>
              </w:rPr>
              <w:t>, 201</w:t>
            </w:r>
            <w:r w:rsidR="0036446C">
              <w:rPr>
                <w:rFonts w:ascii="Calibri" w:hAnsi="Calibri" w:cs="Calibri"/>
                <w:sz w:val="22"/>
                <w:szCs w:val="22"/>
              </w:rPr>
              <w:t>6</w:t>
            </w:r>
            <w:r w:rsidRPr="005D291F">
              <w:rPr>
                <w:rFonts w:ascii="Calibri" w:hAnsi="Calibri" w:cs="Calibri"/>
                <w:sz w:val="22"/>
                <w:szCs w:val="22"/>
              </w:rPr>
              <w:t>, 2:00 pm</w:t>
            </w:r>
          </w:p>
          <w:p w:rsidR="0012530B" w:rsidRPr="005D291F" w:rsidRDefault="00FF4D55" w:rsidP="0036446C">
            <w:pPr>
              <w:spacing w:after="120"/>
              <w:ind w:left="360"/>
              <w:rPr>
                <w:rFonts w:ascii="Calibri" w:hAnsi="Calibri" w:cs="Calibri"/>
                <w:sz w:val="22"/>
                <w:szCs w:val="22"/>
              </w:rPr>
            </w:pPr>
            <w:r>
              <w:rPr>
                <w:rFonts w:ascii="Calibri" w:hAnsi="Calibri"/>
                <w:sz w:val="23"/>
                <w:szCs w:val="23"/>
              </w:rPr>
              <w:t>Marriott St. Louis Grand Hotel Floor CL: Landmark 3</w:t>
            </w:r>
          </w:p>
        </w:tc>
      </w:tr>
    </w:tbl>
    <w:p w:rsidR="0012530B" w:rsidRPr="005D291F" w:rsidRDefault="0012530B" w:rsidP="0012530B">
      <w:pPr>
        <w:rPr>
          <w:rFonts w:ascii="Calibri" w:hAnsi="Calibri" w:cs="Calibri"/>
          <w:b/>
          <w:sz w:val="22"/>
          <w:szCs w:val="22"/>
        </w:rPr>
      </w:pPr>
    </w:p>
    <w:p w:rsidR="00BD3D24" w:rsidRDefault="00BD3D24" w:rsidP="0012530B">
      <w:pPr>
        <w:tabs>
          <w:tab w:val="left" w:pos="180"/>
        </w:tabs>
        <w:spacing w:after="120"/>
        <w:jc w:val="both"/>
        <w:rPr>
          <w:rFonts w:ascii="Calibri" w:hAnsi="Calibri"/>
          <w:b/>
          <w:sz w:val="23"/>
          <w:szCs w:val="23"/>
        </w:rPr>
      </w:pPr>
      <w:r>
        <w:rPr>
          <w:rFonts w:ascii="Calibri" w:hAnsi="Calibri"/>
          <w:b/>
          <w:sz w:val="23"/>
          <w:szCs w:val="23"/>
        </w:rPr>
        <w:t>Purpose:</w:t>
      </w:r>
    </w:p>
    <w:p w:rsidR="002343C2" w:rsidRDefault="002343C2" w:rsidP="0012530B">
      <w:pPr>
        <w:tabs>
          <w:tab w:val="left" w:pos="180"/>
        </w:tabs>
        <w:spacing w:after="120"/>
        <w:jc w:val="both"/>
        <w:rPr>
          <w:rFonts w:ascii="Proxima Nova" w:hAnsi="Proxima Nova" w:cs="Helvetica"/>
          <w:color w:val="333333"/>
        </w:rPr>
      </w:pPr>
      <w:r>
        <w:rPr>
          <w:rFonts w:ascii="Proxima Nova" w:hAnsi="Proxima Nova" w:cs="Helvetica"/>
          <w:color w:val="333333"/>
        </w:rPr>
        <w:t>TC 7.6 is concerned with the estimation, measurement, analysis, benchmarking, and management of whole building and building systems energy and water performance.</w:t>
      </w:r>
    </w:p>
    <w:p w:rsidR="002343C2" w:rsidRDefault="002343C2" w:rsidP="0012530B">
      <w:pPr>
        <w:tabs>
          <w:tab w:val="left" w:pos="180"/>
        </w:tabs>
        <w:spacing w:after="120"/>
        <w:jc w:val="both"/>
        <w:rPr>
          <w:rFonts w:ascii="Calibri" w:hAnsi="Calibri"/>
          <w:b/>
          <w:sz w:val="23"/>
          <w:szCs w:val="23"/>
        </w:rPr>
      </w:pPr>
      <w:r>
        <w:rPr>
          <w:rFonts w:ascii="Proxima Nova" w:hAnsi="Proxima Nova" w:cs="Helvetica"/>
          <w:color w:val="333333"/>
        </w:rPr>
        <w:t xml:space="preserve">This sub-committee is cognizant in part for the publication </w:t>
      </w:r>
      <w:r w:rsidRPr="002343C2">
        <w:rPr>
          <w:rFonts w:ascii="Proxima Nova" w:hAnsi="Proxima Nova" w:cs="Helvetica"/>
          <w:i/>
          <w:color w:val="333333"/>
        </w:rPr>
        <w:t>“Procedures for Commercial Building Energy Audits</w:t>
      </w:r>
      <w:r>
        <w:rPr>
          <w:rFonts w:ascii="Proxima Nova" w:hAnsi="Proxima Nova" w:cs="Helvetica"/>
          <w:color w:val="333333"/>
        </w:rPr>
        <w:t>”, aka “PCBEA” aka “The Green Book.”  Do you have your copy?  They’re in the ASHRAE bookstore, $84 for members.</w:t>
      </w:r>
    </w:p>
    <w:p w:rsidR="008B7753" w:rsidRPr="00C06C0D" w:rsidRDefault="008B7753" w:rsidP="0012530B">
      <w:pPr>
        <w:tabs>
          <w:tab w:val="left" w:pos="180"/>
        </w:tabs>
        <w:spacing w:after="120"/>
        <w:jc w:val="both"/>
        <w:rPr>
          <w:rFonts w:ascii="Calibri" w:hAnsi="Calibri"/>
          <w:b/>
          <w:sz w:val="23"/>
          <w:szCs w:val="23"/>
        </w:rPr>
      </w:pPr>
      <w:r>
        <w:rPr>
          <w:rFonts w:ascii="Calibri" w:hAnsi="Calibri"/>
          <w:b/>
          <w:sz w:val="23"/>
          <w:szCs w:val="23"/>
        </w:rPr>
        <w:t>Agenda</w:t>
      </w:r>
      <w:r w:rsidR="0025132F">
        <w:rPr>
          <w:rFonts w:ascii="Calibri" w:hAnsi="Calibri"/>
          <w:b/>
          <w:sz w:val="23"/>
          <w:szCs w:val="23"/>
        </w:rPr>
        <w:t>:</w:t>
      </w:r>
    </w:p>
    <w:p w:rsidR="0031031B" w:rsidRDefault="0031031B" w:rsidP="0012530B">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Introductions</w:t>
      </w:r>
      <w:r w:rsidR="00AC65C1">
        <w:rPr>
          <w:rFonts w:ascii="Calibri" w:hAnsi="Calibri"/>
          <w:sz w:val="23"/>
          <w:szCs w:val="23"/>
        </w:rPr>
        <w:t xml:space="preserve"> (22 attendees)</w:t>
      </w:r>
    </w:p>
    <w:p w:rsidR="00AC65C1" w:rsidRDefault="00AC65C1" w:rsidP="00AC65C1">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Nate Boyd, Supriya Goel, Jim Kelsey, Bruce Hunn, Fred Goldner, Mark Hauersperger, Dieter Bartel, Stefan Bangerth, Chris Baker, David Eldridge, Hyojin Kim, Michael Deru, Patrick Carpenter, Annie Smith, Mahabir Bhandari, Kimberly Pierson, Terry Sharp, Chonghui Liu, Keith Emerson, Bob Fuller, Audrey Dupuis, Dennis Landsberg</w:t>
      </w:r>
    </w:p>
    <w:p w:rsidR="00892C34" w:rsidRDefault="00892C34" w:rsidP="00892C34">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Proposed Audits Standard SPC 211</w:t>
      </w:r>
    </w:p>
    <w:p w:rsidR="00892C34" w:rsidRDefault="00892C34" w:rsidP="00892C34">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 xml:space="preserve">Meeting tomorrow, </w:t>
      </w:r>
      <w:r w:rsidR="00FF4D55">
        <w:rPr>
          <w:rFonts w:ascii="Calibri" w:hAnsi="Calibri"/>
          <w:sz w:val="23"/>
          <w:szCs w:val="23"/>
        </w:rPr>
        <w:t>June 27</w:t>
      </w:r>
      <w:r w:rsidR="002343C2" w:rsidRPr="002343C2">
        <w:rPr>
          <w:rFonts w:ascii="Calibri" w:hAnsi="Calibri"/>
          <w:sz w:val="23"/>
          <w:szCs w:val="23"/>
          <w:vertAlign w:val="superscript"/>
        </w:rPr>
        <w:t>th</w:t>
      </w:r>
      <w:r>
        <w:rPr>
          <w:rFonts w:ascii="Calibri" w:hAnsi="Calibri"/>
          <w:sz w:val="23"/>
          <w:szCs w:val="23"/>
        </w:rPr>
        <w:t xml:space="preserve">, 8:00 AM to 12:00 PM, </w:t>
      </w:r>
      <w:r w:rsidR="00FF4D55">
        <w:rPr>
          <w:rFonts w:ascii="Calibri" w:hAnsi="Calibri"/>
          <w:sz w:val="23"/>
          <w:szCs w:val="23"/>
        </w:rPr>
        <w:t>America’s Center Convention Center Complex Floor 1: 123</w:t>
      </w:r>
    </w:p>
    <w:p w:rsidR="007C3D0E" w:rsidRDefault="00892C34" w:rsidP="007C3D0E">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Anticipated publish timeframe: Winter 2017 pending comment period.</w:t>
      </w:r>
      <w:r w:rsidR="00F90B50">
        <w:rPr>
          <w:rFonts w:ascii="Calibri" w:hAnsi="Calibri"/>
          <w:sz w:val="23"/>
          <w:szCs w:val="23"/>
        </w:rPr>
        <w:t xml:space="preserve">  </w:t>
      </w:r>
      <w:r w:rsidR="00FF4D55">
        <w:rPr>
          <w:rFonts w:ascii="Calibri" w:hAnsi="Calibri"/>
          <w:sz w:val="23"/>
          <w:szCs w:val="23"/>
        </w:rPr>
        <w:t>A</w:t>
      </w:r>
      <w:r w:rsidR="00F90B50">
        <w:rPr>
          <w:rFonts w:ascii="Calibri" w:hAnsi="Calibri"/>
          <w:sz w:val="23"/>
          <w:szCs w:val="23"/>
        </w:rPr>
        <w:t xml:space="preserve">dvisory public review </w:t>
      </w:r>
      <w:r w:rsidR="00FF4D55">
        <w:rPr>
          <w:rFonts w:ascii="Calibri" w:hAnsi="Calibri"/>
          <w:sz w:val="23"/>
          <w:szCs w:val="23"/>
        </w:rPr>
        <w:t>issued,</w:t>
      </w:r>
      <w:r w:rsidR="00A10D1F">
        <w:rPr>
          <w:rFonts w:ascii="Calibri" w:hAnsi="Calibri"/>
          <w:sz w:val="23"/>
          <w:szCs w:val="23"/>
        </w:rPr>
        <w:t xml:space="preserve"> over 300 comments received</w:t>
      </w:r>
      <w:r w:rsidR="00F90B50">
        <w:rPr>
          <w:rFonts w:ascii="Calibri" w:hAnsi="Calibri"/>
          <w:sz w:val="23"/>
          <w:szCs w:val="23"/>
        </w:rPr>
        <w:t>.</w:t>
      </w:r>
    </w:p>
    <w:p w:rsidR="004C4EB1" w:rsidRPr="007C3D0E" w:rsidRDefault="004C4EB1" w:rsidP="007C3D0E">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Std. 211 voted to send to PPR, anticipated PPR 45 day comment period to begin approximately 2-4 weeks pending standards backlog</w:t>
      </w:r>
    </w:p>
    <w:p w:rsidR="00C661CB" w:rsidRDefault="00FF4D55" w:rsidP="00C661CB">
      <w:pPr>
        <w:pStyle w:val="ListParagraph"/>
        <w:numPr>
          <w:ilvl w:val="0"/>
          <w:numId w:val="30"/>
        </w:numPr>
        <w:tabs>
          <w:tab w:val="left" w:pos="180"/>
        </w:tabs>
        <w:spacing w:after="120"/>
        <w:contextualSpacing w:val="0"/>
        <w:rPr>
          <w:rFonts w:ascii="Calibri" w:hAnsi="Calibri"/>
          <w:sz w:val="23"/>
          <w:szCs w:val="23"/>
        </w:rPr>
      </w:pPr>
      <w:r>
        <w:rPr>
          <w:rFonts w:ascii="Calibri" w:hAnsi="Calibri"/>
          <w:sz w:val="23"/>
          <w:szCs w:val="23"/>
        </w:rPr>
        <w:t xml:space="preserve">Special Publication:  “Best Practices for Commercial Building Energy Audits – A Compliment (Supplement?) To ANSI/ASHRAE Standard 211-20xx” </w:t>
      </w:r>
    </w:p>
    <w:p w:rsidR="00C661CB" w:rsidRDefault="00FF4D55" w:rsidP="00C661CB">
      <w:pPr>
        <w:pStyle w:val="ListParagraph"/>
        <w:numPr>
          <w:ilvl w:val="1"/>
          <w:numId w:val="30"/>
        </w:numPr>
        <w:tabs>
          <w:tab w:val="left" w:pos="180"/>
        </w:tabs>
        <w:spacing w:after="120"/>
        <w:contextualSpacing w:val="0"/>
        <w:rPr>
          <w:rFonts w:ascii="Calibri" w:hAnsi="Calibri"/>
          <w:sz w:val="23"/>
          <w:szCs w:val="23"/>
        </w:rPr>
      </w:pPr>
      <w:r>
        <w:rPr>
          <w:rFonts w:ascii="Calibri" w:hAnsi="Calibri"/>
          <w:sz w:val="23"/>
          <w:szCs w:val="23"/>
        </w:rPr>
        <w:t xml:space="preserve">Procedures for Commercial Building Energy Audits, </w:t>
      </w:r>
      <w:r w:rsidR="00C661CB">
        <w:rPr>
          <w:rFonts w:ascii="Calibri" w:hAnsi="Calibri"/>
          <w:sz w:val="23"/>
          <w:szCs w:val="23"/>
        </w:rPr>
        <w:t>2</w:t>
      </w:r>
      <w:r w:rsidR="00C661CB" w:rsidRPr="00C661CB">
        <w:rPr>
          <w:rFonts w:ascii="Calibri" w:hAnsi="Calibri"/>
          <w:sz w:val="23"/>
          <w:szCs w:val="23"/>
          <w:vertAlign w:val="superscript"/>
        </w:rPr>
        <w:t>nd</w:t>
      </w:r>
      <w:r w:rsidR="00C661CB">
        <w:rPr>
          <w:rFonts w:ascii="Calibri" w:hAnsi="Calibri"/>
          <w:sz w:val="23"/>
          <w:szCs w:val="23"/>
        </w:rPr>
        <w:t xml:space="preserve"> Ed. published in 2011.  An updated publication has not yet been proposed to Pub-Ed council. </w:t>
      </w:r>
      <w:r w:rsidR="00A10D1F">
        <w:rPr>
          <w:rFonts w:ascii="Calibri" w:hAnsi="Calibri"/>
          <w:sz w:val="23"/>
          <w:szCs w:val="23"/>
        </w:rPr>
        <w:t xml:space="preserve"> </w:t>
      </w:r>
      <w:r>
        <w:rPr>
          <w:rFonts w:ascii="Calibri" w:hAnsi="Calibri"/>
          <w:sz w:val="23"/>
          <w:szCs w:val="23"/>
        </w:rPr>
        <w:t>“Best Practices publication will replace the PCBEA to reduce market confusion.</w:t>
      </w:r>
    </w:p>
    <w:p w:rsidR="00FF4D55" w:rsidRDefault="00FF4D55" w:rsidP="00FF4D55">
      <w:pPr>
        <w:pStyle w:val="ListParagraph"/>
        <w:numPr>
          <w:ilvl w:val="1"/>
          <w:numId w:val="30"/>
        </w:numPr>
        <w:tabs>
          <w:tab w:val="left" w:pos="180"/>
        </w:tabs>
        <w:spacing w:after="120"/>
        <w:rPr>
          <w:rFonts w:ascii="Calibri" w:hAnsi="Calibri"/>
          <w:sz w:val="23"/>
          <w:szCs w:val="23"/>
        </w:rPr>
      </w:pPr>
      <w:r>
        <w:rPr>
          <w:rFonts w:ascii="Calibri" w:hAnsi="Calibri"/>
          <w:sz w:val="23"/>
          <w:szCs w:val="23"/>
        </w:rPr>
        <w:t>Basecamp 3 introduction and overview</w:t>
      </w:r>
    </w:p>
    <w:p w:rsidR="00516984" w:rsidRDefault="00516984" w:rsidP="00516984">
      <w:pPr>
        <w:pStyle w:val="ListParagraph"/>
        <w:numPr>
          <w:ilvl w:val="2"/>
          <w:numId w:val="30"/>
        </w:numPr>
        <w:tabs>
          <w:tab w:val="left" w:pos="180"/>
        </w:tabs>
        <w:spacing w:after="120"/>
        <w:rPr>
          <w:rFonts w:ascii="Calibri" w:hAnsi="Calibri"/>
          <w:sz w:val="23"/>
          <w:szCs w:val="23"/>
        </w:rPr>
      </w:pPr>
      <w:r>
        <w:rPr>
          <w:rFonts w:ascii="Calibri" w:hAnsi="Calibri"/>
          <w:sz w:val="23"/>
          <w:szCs w:val="23"/>
        </w:rPr>
        <w:t xml:space="preserve">Communications and document control – manuscripts and editorial comments, scheduling and to-do’s.  </w:t>
      </w:r>
      <w:r w:rsidRPr="00516984">
        <w:rPr>
          <w:rFonts w:ascii="Calibri" w:hAnsi="Calibri"/>
          <w:b/>
          <w:sz w:val="23"/>
          <w:szCs w:val="23"/>
        </w:rPr>
        <w:t>If you want to collaborate on this effort, give me (Nate) your contact info and I’ll add you to the basecamp.</w:t>
      </w:r>
    </w:p>
    <w:p w:rsidR="00FF4D55" w:rsidRPr="00FF4D55" w:rsidRDefault="00FF4D55" w:rsidP="00FF4D55">
      <w:pPr>
        <w:pStyle w:val="ListParagraph"/>
        <w:tabs>
          <w:tab w:val="left" w:pos="180"/>
        </w:tabs>
        <w:spacing w:after="120"/>
        <w:ind w:left="1440"/>
        <w:rPr>
          <w:rFonts w:ascii="Calibri" w:hAnsi="Calibri"/>
          <w:sz w:val="23"/>
          <w:szCs w:val="23"/>
        </w:rPr>
      </w:pPr>
    </w:p>
    <w:p w:rsidR="00FF4D55" w:rsidRDefault="00FF4D55" w:rsidP="00FF4D55">
      <w:pPr>
        <w:pStyle w:val="ListParagraph"/>
        <w:numPr>
          <w:ilvl w:val="1"/>
          <w:numId w:val="30"/>
        </w:numPr>
        <w:tabs>
          <w:tab w:val="left" w:pos="180"/>
        </w:tabs>
        <w:spacing w:after="120"/>
        <w:rPr>
          <w:rFonts w:ascii="Calibri" w:hAnsi="Calibri"/>
          <w:sz w:val="23"/>
          <w:szCs w:val="23"/>
        </w:rPr>
      </w:pPr>
      <w:r>
        <w:rPr>
          <w:rFonts w:ascii="Calibri" w:hAnsi="Calibri"/>
          <w:sz w:val="23"/>
          <w:szCs w:val="23"/>
        </w:rPr>
        <w:t>Development of Outline &amp; Content</w:t>
      </w:r>
      <w:r w:rsidR="00392638">
        <w:rPr>
          <w:rFonts w:ascii="Calibri" w:hAnsi="Calibri"/>
          <w:sz w:val="23"/>
          <w:szCs w:val="23"/>
        </w:rPr>
        <w:t>; solicit content contributors</w:t>
      </w:r>
    </w:p>
    <w:p w:rsidR="00DC4E41" w:rsidRPr="00DC4E41" w:rsidRDefault="00DC4E41" w:rsidP="00DC4E41">
      <w:pPr>
        <w:pStyle w:val="ListParagraph"/>
        <w:rPr>
          <w:rFonts w:ascii="Calibri" w:hAnsi="Calibri"/>
          <w:sz w:val="23"/>
          <w:szCs w:val="23"/>
        </w:rPr>
      </w:pPr>
    </w:p>
    <w:p w:rsidR="00DC4E41" w:rsidRDefault="00DC4E41" w:rsidP="00DC4E41">
      <w:pPr>
        <w:pStyle w:val="ListParagraph"/>
        <w:numPr>
          <w:ilvl w:val="2"/>
          <w:numId w:val="30"/>
        </w:numPr>
        <w:tabs>
          <w:tab w:val="left" w:pos="180"/>
        </w:tabs>
        <w:spacing w:after="120"/>
        <w:rPr>
          <w:rFonts w:ascii="Calibri" w:hAnsi="Calibri"/>
          <w:sz w:val="23"/>
          <w:szCs w:val="23"/>
        </w:rPr>
      </w:pPr>
      <w:r>
        <w:rPr>
          <w:rFonts w:ascii="Calibri" w:hAnsi="Calibri"/>
          <w:sz w:val="23"/>
          <w:szCs w:val="23"/>
        </w:rPr>
        <w:lastRenderedPageBreak/>
        <w:t>Include a chapter on explaining the scope and purpose of std 211.  Carry over &amp; update pertinent info from the green book</w:t>
      </w:r>
    </w:p>
    <w:p w:rsidR="00DC4E41" w:rsidRDefault="00DC4E41" w:rsidP="00DC4E41">
      <w:pPr>
        <w:pStyle w:val="ListParagraph"/>
        <w:numPr>
          <w:ilvl w:val="2"/>
          <w:numId w:val="30"/>
        </w:numPr>
        <w:tabs>
          <w:tab w:val="left" w:pos="180"/>
        </w:tabs>
        <w:spacing w:after="120"/>
        <w:rPr>
          <w:rFonts w:ascii="Calibri" w:hAnsi="Calibri"/>
          <w:sz w:val="23"/>
          <w:szCs w:val="23"/>
        </w:rPr>
      </w:pPr>
      <w:r>
        <w:rPr>
          <w:rFonts w:ascii="Calibri" w:hAnsi="Calibri"/>
          <w:sz w:val="23"/>
          <w:szCs w:val="23"/>
        </w:rPr>
        <w:t>Request the manuscript from the green book from Steve Comstock, meanwhile, work off version that Jim Kelsey had sent to PubEd pre-final editing</w:t>
      </w:r>
    </w:p>
    <w:p w:rsidR="00DC4E41" w:rsidRDefault="00DC4E41" w:rsidP="00DC4E41">
      <w:pPr>
        <w:pStyle w:val="ListParagraph"/>
        <w:numPr>
          <w:ilvl w:val="2"/>
          <w:numId w:val="30"/>
        </w:numPr>
        <w:tabs>
          <w:tab w:val="left" w:pos="180"/>
        </w:tabs>
        <w:spacing w:after="120"/>
        <w:rPr>
          <w:rFonts w:ascii="Calibri" w:hAnsi="Calibri"/>
          <w:sz w:val="23"/>
          <w:szCs w:val="23"/>
        </w:rPr>
      </w:pPr>
      <w:r>
        <w:rPr>
          <w:rFonts w:ascii="Calibri" w:hAnsi="Calibri"/>
          <w:sz w:val="23"/>
          <w:szCs w:val="23"/>
        </w:rPr>
        <w:t>Include section on targeted energy audits, value propositions (and proper use of) levels 1,2 and 3 audits, district energy, virtual energy audits</w:t>
      </w:r>
    </w:p>
    <w:p w:rsidR="00DC4E41" w:rsidRDefault="00DC4E41" w:rsidP="00DC4E41">
      <w:pPr>
        <w:pStyle w:val="ListParagraph"/>
        <w:numPr>
          <w:ilvl w:val="2"/>
          <w:numId w:val="30"/>
        </w:numPr>
        <w:tabs>
          <w:tab w:val="left" w:pos="180"/>
        </w:tabs>
        <w:spacing w:after="120"/>
        <w:rPr>
          <w:rFonts w:ascii="Calibri" w:hAnsi="Calibri"/>
          <w:sz w:val="23"/>
          <w:szCs w:val="23"/>
        </w:rPr>
      </w:pPr>
      <w:r>
        <w:rPr>
          <w:rFonts w:ascii="Calibri" w:hAnsi="Calibri"/>
          <w:sz w:val="23"/>
          <w:szCs w:val="23"/>
        </w:rPr>
        <w:t>Reach beyond ASHRAE extents: separate reporting methods from other orgs, &amp; map of areas mandating audits?</w:t>
      </w:r>
    </w:p>
    <w:p w:rsidR="00DC4E41" w:rsidRDefault="00DC4E41" w:rsidP="00DC4E41">
      <w:pPr>
        <w:pStyle w:val="ListParagraph"/>
        <w:numPr>
          <w:ilvl w:val="2"/>
          <w:numId w:val="30"/>
        </w:numPr>
        <w:tabs>
          <w:tab w:val="left" w:pos="180"/>
        </w:tabs>
        <w:spacing w:after="120"/>
        <w:rPr>
          <w:rFonts w:ascii="Calibri" w:hAnsi="Calibri"/>
          <w:sz w:val="23"/>
          <w:szCs w:val="23"/>
        </w:rPr>
      </w:pPr>
      <w:r>
        <w:rPr>
          <w:rFonts w:ascii="Calibri" w:hAnsi="Calibri"/>
          <w:sz w:val="23"/>
          <w:szCs w:val="23"/>
        </w:rPr>
        <w:t>3 year publication timeline anticipated, based on green book development.  Expect 9 months to a year after manuscript development for final edits before publication</w:t>
      </w:r>
    </w:p>
    <w:p w:rsidR="00DC4E41" w:rsidRDefault="00DC4E41" w:rsidP="00DC4E41">
      <w:pPr>
        <w:pStyle w:val="ListParagraph"/>
        <w:numPr>
          <w:ilvl w:val="2"/>
          <w:numId w:val="30"/>
        </w:numPr>
        <w:tabs>
          <w:tab w:val="left" w:pos="180"/>
        </w:tabs>
        <w:spacing w:after="120"/>
        <w:rPr>
          <w:rFonts w:ascii="Calibri" w:hAnsi="Calibri"/>
          <w:sz w:val="23"/>
          <w:szCs w:val="23"/>
        </w:rPr>
      </w:pPr>
      <w:r>
        <w:rPr>
          <w:rFonts w:ascii="Calibri" w:hAnsi="Calibri"/>
          <w:sz w:val="23"/>
          <w:szCs w:val="23"/>
        </w:rPr>
        <w:t>Include sample filled out forms from 211</w:t>
      </w:r>
    </w:p>
    <w:p w:rsidR="00DC4E41" w:rsidRDefault="00DC4E41" w:rsidP="00DC4E41">
      <w:pPr>
        <w:pStyle w:val="ListParagraph"/>
        <w:numPr>
          <w:ilvl w:val="2"/>
          <w:numId w:val="30"/>
        </w:numPr>
        <w:tabs>
          <w:tab w:val="left" w:pos="180"/>
        </w:tabs>
        <w:spacing w:after="120"/>
        <w:rPr>
          <w:rFonts w:ascii="Calibri" w:hAnsi="Calibri"/>
          <w:sz w:val="23"/>
          <w:szCs w:val="23"/>
        </w:rPr>
      </w:pPr>
      <w:r>
        <w:rPr>
          <w:rFonts w:ascii="Calibri" w:hAnsi="Calibri"/>
          <w:sz w:val="23"/>
          <w:szCs w:val="23"/>
        </w:rPr>
        <w:t>Calculation methods that are acceptable &amp; sample calcs</w:t>
      </w:r>
    </w:p>
    <w:p w:rsidR="00DC4E41" w:rsidRDefault="00DC4E41" w:rsidP="00DC4E41">
      <w:pPr>
        <w:pStyle w:val="ListParagraph"/>
        <w:numPr>
          <w:ilvl w:val="2"/>
          <w:numId w:val="30"/>
        </w:numPr>
        <w:tabs>
          <w:tab w:val="left" w:pos="180"/>
        </w:tabs>
        <w:spacing w:after="120"/>
        <w:rPr>
          <w:rFonts w:ascii="Calibri" w:hAnsi="Calibri"/>
          <w:sz w:val="23"/>
          <w:szCs w:val="23"/>
        </w:rPr>
      </w:pPr>
      <w:r>
        <w:rPr>
          <w:rFonts w:ascii="Calibri" w:hAnsi="Calibri"/>
          <w:sz w:val="23"/>
          <w:szCs w:val="23"/>
        </w:rPr>
        <w:t>Energy forecasting</w:t>
      </w:r>
    </w:p>
    <w:p w:rsidR="00DC4E41" w:rsidRDefault="00AC65C1" w:rsidP="00DC4E41">
      <w:pPr>
        <w:pStyle w:val="ListParagraph"/>
        <w:numPr>
          <w:ilvl w:val="2"/>
          <w:numId w:val="30"/>
        </w:numPr>
        <w:tabs>
          <w:tab w:val="left" w:pos="180"/>
        </w:tabs>
        <w:spacing w:after="120"/>
        <w:rPr>
          <w:rFonts w:ascii="Calibri" w:hAnsi="Calibri"/>
          <w:sz w:val="23"/>
          <w:szCs w:val="23"/>
        </w:rPr>
      </w:pPr>
      <w:r>
        <w:rPr>
          <w:rFonts w:ascii="Calibri" w:hAnsi="Calibri"/>
          <w:sz w:val="23"/>
          <w:szCs w:val="23"/>
        </w:rPr>
        <w:t>Common language approach</w:t>
      </w:r>
    </w:p>
    <w:p w:rsidR="00AC65C1" w:rsidRDefault="00AC65C1" w:rsidP="00DC4E41">
      <w:pPr>
        <w:pStyle w:val="ListParagraph"/>
        <w:numPr>
          <w:ilvl w:val="2"/>
          <w:numId w:val="30"/>
        </w:numPr>
        <w:tabs>
          <w:tab w:val="left" w:pos="180"/>
        </w:tabs>
        <w:spacing w:after="120"/>
        <w:rPr>
          <w:rFonts w:ascii="Calibri" w:hAnsi="Calibri"/>
          <w:sz w:val="23"/>
          <w:szCs w:val="23"/>
        </w:rPr>
      </w:pPr>
      <w:r>
        <w:rPr>
          <w:rFonts w:ascii="Calibri" w:hAnsi="Calibri"/>
          <w:sz w:val="23"/>
          <w:szCs w:val="23"/>
        </w:rPr>
        <w:t>Suggested hierarchy of EEMs (both for no/low-cost and for capital projects)</w:t>
      </w:r>
    </w:p>
    <w:p w:rsidR="00AC65C1" w:rsidRDefault="00AC65C1" w:rsidP="00DC4E41">
      <w:pPr>
        <w:pStyle w:val="ListParagraph"/>
        <w:numPr>
          <w:ilvl w:val="2"/>
          <w:numId w:val="30"/>
        </w:numPr>
        <w:tabs>
          <w:tab w:val="left" w:pos="180"/>
        </w:tabs>
        <w:spacing w:after="120"/>
        <w:rPr>
          <w:rFonts w:ascii="Calibri" w:hAnsi="Calibri"/>
          <w:sz w:val="23"/>
          <w:szCs w:val="23"/>
        </w:rPr>
      </w:pPr>
      <w:r>
        <w:rPr>
          <w:rFonts w:ascii="Calibri" w:hAnsi="Calibri"/>
          <w:sz w:val="23"/>
          <w:szCs w:val="23"/>
        </w:rPr>
        <w:t>Interactive EEM calculations</w:t>
      </w:r>
    </w:p>
    <w:p w:rsidR="00AC65C1" w:rsidRDefault="00AC65C1" w:rsidP="00DC4E41">
      <w:pPr>
        <w:pStyle w:val="ListParagraph"/>
        <w:numPr>
          <w:ilvl w:val="2"/>
          <w:numId w:val="30"/>
        </w:numPr>
        <w:tabs>
          <w:tab w:val="left" w:pos="180"/>
        </w:tabs>
        <w:spacing w:after="120"/>
        <w:rPr>
          <w:rFonts w:ascii="Calibri" w:hAnsi="Calibri"/>
          <w:sz w:val="23"/>
          <w:szCs w:val="23"/>
        </w:rPr>
      </w:pPr>
      <w:r>
        <w:rPr>
          <w:rFonts w:ascii="Calibri" w:hAnsi="Calibri"/>
          <w:sz w:val="23"/>
          <w:szCs w:val="23"/>
        </w:rPr>
        <w:t>Building EQ</w:t>
      </w:r>
    </w:p>
    <w:p w:rsidR="00AC65C1" w:rsidRDefault="00AC65C1" w:rsidP="00DC4E41">
      <w:pPr>
        <w:pStyle w:val="ListParagraph"/>
        <w:numPr>
          <w:ilvl w:val="2"/>
          <w:numId w:val="30"/>
        </w:numPr>
        <w:tabs>
          <w:tab w:val="left" w:pos="180"/>
        </w:tabs>
        <w:spacing w:after="120"/>
        <w:rPr>
          <w:rFonts w:ascii="Calibri" w:hAnsi="Calibri"/>
          <w:sz w:val="23"/>
          <w:szCs w:val="23"/>
        </w:rPr>
      </w:pPr>
      <w:r>
        <w:rPr>
          <w:rFonts w:ascii="Calibri" w:hAnsi="Calibri"/>
          <w:sz w:val="23"/>
          <w:szCs w:val="23"/>
        </w:rPr>
        <w:t>“Greener Book” – colloquial follow up title to “green book”</w:t>
      </w:r>
    </w:p>
    <w:p w:rsidR="003E499C" w:rsidRPr="00516984" w:rsidRDefault="00AC65C1" w:rsidP="00516984">
      <w:pPr>
        <w:pStyle w:val="ListParagraph"/>
        <w:numPr>
          <w:ilvl w:val="2"/>
          <w:numId w:val="30"/>
        </w:numPr>
        <w:tabs>
          <w:tab w:val="left" w:pos="180"/>
        </w:tabs>
        <w:spacing w:after="120"/>
        <w:rPr>
          <w:rFonts w:ascii="Calibri" w:hAnsi="Calibri"/>
          <w:sz w:val="23"/>
          <w:szCs w:val="23"/>
        </w:rPr>
      </w:pPr>
      <w:r>
        <w:rPr>
          <w:rFonts w:ascii="Calibri" w:hAnsi="Calibri"/>
          <w:sz w:val="23"/>
          <w:szCs w:val="23"/>
        </w:rPr>
        <w:t>Nate will take the first pass at developing the content outline, solicit comments and volunteers for content authoring and review</w:t>
      </w:r>
      <w:bookmarkStart w:id="0" w:name="_GoBack"/>
      <w:bookmarkEnd w:id="0"/>
    </w:p>
    <w:sectPr w:rsidR="003E499C" w:rsidRPr="00516984" w:rsidSect="0012530B">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3976" w:rsidRDefault="00A53976" w:rsidP="0004399A">
      <w:r>
        <w:separator/>
      </w:r>
    </w:p>
  </w:endnote>
  <w:endnote w:type="continuationSeparator" w:id="0">
    <w:p w:rsidR="00A53976" w:rsidRDefault="00A53976" w:rsidP="0004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roxima Nova">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3976" w:rsidRDefault="00A53976" w:rsidP="0004399A">
      <w:r>
        <w:separator/>
      </w:r>
    </w:p>
  </w:footnote>
  <w:footnote w:type="continuationSeparator" w:id="0">
    <w:p w:rsidR="00A53976" w:rsidRDefault="00A53976" w:rsidP="00043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091E" w:rsidRPr="00C516EF" w:rsidRDefault="00C3091E" w:rsidP="006F48D5">
    <w:pPr>
      <w:pStyle w:val="Header"/>
      <w:rPr>
        <w:rFonts w:ascii="Calibri" w:hAnsi="Calibri"/>
        <w:sz w:val="23"/>
        <w:szCs w:val="23"/>
      </w:rPr>
    </w:pPr>
    <w:r>
      <w:rPr>
        <w:rFonts w:ascii="Calibri" w:hAnsi="Calibri"/>
        <w:sz w:val="23"/>
        <w:szCs w:val="23"/>
      </w:rPr>
      <w:t>ASHRAE TC 7.6 – Commercial Building Energy Audits</w:t>
    </w:r>
  </w:p>
  <w:p w:rsidR="00C3091E" w:rsidRDefault="00C3091E" w:rsidP="00C516EF">
    <w:pPr>
      <w:pStyle w:val="Header"/>
      <w:rPr>
        <w:rFonts w:ascii="Calibri" w:hAnsi="Calibri"/>
        <w:sz w:val="23"/>
        <w:szCs w:val="23"/>
      </w:rPr>
    </w:pPr>
    <w:r w:rsidRPr="00C516EF">
      <w:rPr>
        <w:rFonts w:ascii="Calibri" w:hAnsi="Calibri"/>
        <w:sz w:val="23"/>
        <w:szCs w:val="23"/>
      </w:rPr>
      <w:t xml:space="preserve">Page </w:t>
    </w:r>
    <w:r w:rsidRPr="00C516EF">
      <w:rPr>
        <w:rFonts w:ascii="Calibri" w:hAnsi="Calibri"/>
        <w:sz w:val="23"/>
        <w:szCs w:val="23"/>
      </w:rPr>
      <w:fldChar w:fldCharType="begin"/>
    </w:r>
    <w:r w:rsidRPr="00C516EF">
      <w:rPr>
        <w:rFonts w:ascii="Calibri" w:hAnsi="Calibri"/>
        <w:sz w:val="23"/>
        <w:szCs w:val="23"/>
      </w:rPr>
      <w:instrText xml:space="preserve"> PAGE </w:instrText>
    </w:r>
    <w:r w:rsidRPr="00C516EF">
      <w:rPr>
        <w:rFonts w:ascii="Calibri" w:hAnsi="Calibri"/>
        <w:sz w:val="23"/>
        <w:szCs w:val="23"/>
      </w:rPr>
      <w:fldChar w:fldCharType="separate"/>
    </w:r>
    <w:r w:rsidR="00516984">
      <w:rPr>
        <w:rFonts w:ascii="Calibri" w:hAnsi="Calibri"/>
        <w:noProof/>
        <w:sz w:val="23"/>
        <w:szCs w:val="23"/>
      </w:rPr>
      <w:t>2</w:t>
    </w:r>
    <w:r w:rsidRPr="00C516EF">
      <w:rPr>
        <w:rFonts w:ascii="Calibri" w:hAnsi="Calibri"/>
        <w:sz w:val="23"/>
        <w:szCs w:val="23"/>
      </w:rPr>
      <w:fldChar w:fldCharType="end"/>
    </w:r>
    <w:r w:rsidRPr="00C516EF">
      <w:rPr>
        <w:rFonts w:ascii="Calibri" w:hAnsi="Calibri"/>
        <w:sz w:val="23"/>
        <w:szCs w:val="23"/>
      </w:rPr>
      <w:t xml:space="preserve"> of </w:t>
    </w:r>
    <w:r w:rsidRPr="00C516EF">
      <w:rPr>
        <w:rFonts w:ascii="Calibri" w:hAnsi="Calibri"/>
        <w:sz w:val="23"/>
        <w:szCs w:val="23"/>
      </w:rPr>
      <w:fldChar w:fldCharType="begin"/>
    </w:r>
    <w:r w:rsidRPr="00C516EF">
      <w:rPr>
        <w:rFonts w:ascii="Calibri" w:hAnsi="Calibri"/>
        <w:sz w:val="23"/>
        <w:szCs w:val="23"/>
      </w:rPr>
      <w:instrText xml:space="preserve"> NUMPAGES  </w:instrText>
    </w:r>
    <w:r w:rsidRPr="00C516EF">
      <w:rPr>
        <w:rFonts w:ascii="Calibri" w:hAnsi="Calibri"/>
        <w:sz w:val="23"/>
        <w:szCs w:val="23"/>
      </w:rPr>
      <w:fldChar w:fldCharType="separate"/>
    </w:r>
    <w:r w:rsidR="00516984">
      <w:rPr>
        <w:rFonts w:ascii="Calibri" w:hAnsi="Calibri"/>
        <w:noProof/>
        <w:sz w:val="23"/>
        <w:szCs w:val="23"/>
      </w:rPr>
      <w:t>2</w:t>
    </w:r>
    <w:r w:rsidRPr="00C516EF">
      <w:rPr>
        <w:rFonts w:ascii="Calibri" w:hAnsi="Calibri"/>
        <w:sz w:val="23"/>
        <w:szCs w:val="23"/>
      </w:rPr>
      <w:fldChar w:fldCharType="end"/>
    </w:r>
  </w:p>
  <w:p w:rsidR="00C3091E" w:rsidRPr="00C516EF" w:rsidRDefault="00C3091E" w:rsidP="00C516EF">
    <w:pPr>
      <w:pStyle w:val="Header"/>
      <w:rPr>
        <w:rFonts w:ascii="Calibri" w:hAnsi="Calibri"/>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3F20"/>
    <w:multiLevelType w:val="hybridMultilevel"/>
    <w:tmpl w:val="DBD6582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E086A"/>
    <w:multiLevelType w:val="hybridMultilevel"/>
    <w:tmpl w:val="6B0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A000E0"/>
    <w:multiLevelType w:val="hybridMultilevel"/>
    <w:tmpl w:val="EFDEB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05AA9"/>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D539D"/>
    <w:multiLevelType w:val="hybridMultilevel"/>
    <w:tmpl w:val="D0F8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2254769"/>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4F2496"/>
    <w:multiLevelType w:val="hybridMultilevel"/>
    <w:tmpl w:val="84C4E49A"/>
    <w:lvl w:ilvl="0" w:tplc="E9FCEFEE">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8664AB"/>
    <w:multiLevelType w:val="hybridMultilevel"/>
    <w:tmpl w:val="701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779F9"/>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813CA"/>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635A63"/>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2E842CD9"/>
    <w:multiLevelType w:val="multilevel"/>
    <w:tmpl w:val="1DBC25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1F674E5"/>
    <w:multiLevelType w:val="hybridMultilevel"/>
    <w:tmpl w:val="8DC40A10"/>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C416A1"/>
    <w:multiLevelType w:val="hybridMultilevel"/>
    <w:tmpl w:val="AE2C4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42881937"/>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FA401D"/>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1C232D"/>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E445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510041"/>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8914CE"/>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53525D7"/>
    <w:multiLevelType w:val="hybridMultilevel"/>
    <w:tmpl w:val="C0D8C87A"/>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6C46077"/>
    <w:multiLevelType w:val="hybridMultilevel"/>
    <w:tmpl w:val="22C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F25D3A"/>
    <w:multiLevelType w:val="hybridMultilevel"/>
    <w:tmpl w:val="4076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5338F8"/>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D47428"/>
    <w:multiLevelType w:val="hybridMultilevel"/>
    <w:tmpl w:val="F3163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90E4181"/>
    <w:multiLevelType w:val="hybridMultilevel"/>
    <w:tmpl w:val="7B6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9944AA7"/>
    <w:multiLevelType w:val="hybridMultilevel"/>
    <w:tmpl w:val="45F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4141C"/>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2731B0"/>
    <w:multiLevelType w:val="hybridMultilevel"/>
    <w:tmpl w:val="E610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6C768A"/>
    <w:multiLevelType w:val="hybridMultilevel"/>
    <w:tmpl w:val="6164A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733625"/>
    <w:multiLevelType w:val="hybridMultilevel"/>
    <w:tmpl w:val="E8CA4DD4"/>
    <w:lvl w:ilvl="0" w:tplc="04090001">
      <w:start w:val="1"/>
      <w:numFmt w:val="bullet"/>
      <w:lvlText w:val=""/>
      <w:lvlJc w:val="left"/>
      <w:pPr>
        <w:ind w:left="117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AA231D"/>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314487"/>
    <w:multiLevelType w:val="hybridMultilevel"/>
    <w:tmpl w:val="891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7C490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C16799"/>
    <w:multiLevelType w:val="hybridMultilevel"/>
    <w:tmpl w:val="BE2AD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B5014D"/>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15:restartNumberingAfterBreak="0">
    <w:nsid w:val="6AD6711D"/>
    <w:multiLevelType w:val="hybridMultilevel"/>
    <w:tmpl w:val="BBC0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F74222"/>
    <w:multiLevelType w:val="multilevel"/>
    <w:tmpl w:val="BD0CEA9E"/>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E921AE6"/>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5E4A94"/>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750CFF"/>
    <w:multiLevelType w:val="singleLevel"/>
    <w:tmpl w:val="63F07804"/>
    <w:lvl w:ilvl="0">
      <w:start w:val="1"/>
      <w:numFmt w:val="decimal"/>
      <w:lvlText w:val="%1."/>
      <w:lvlJc w:val="left"/>
      <w:pPr>
        <w:tabs>
          <w:tab w:val="num" w:pos="720"/>
        </w:tabs>
        <w:ind w:left="720" w:hanging="720"/>
      </w:pPr>
      <w:rPr>
        <w:rFonts w:hint="default"/>
      </w:rPr>
    </w:lvl>
  </w:abstractNum>
  <w:abstractNum w:abstractNumId="45" w15:restartNumberingAfterBreak="0">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1"/>
  </w:num>
  <w:num w:numId="3">
    <w:abstractNumId w:val="32"/>
  </w:num>
  <w:num w:numId="4">
    <w:abstractNumId w:val="8"/>
  </w:num>
  <w:num w:numId="5">
    <w:abstractNumId w:val="23"/>
  </w:num>
  <w:num w:numId="6">
    <w:abstractNumId w:val="29"/>
  </w:num>
  <w:num w:numId="7">
    <w:abstractNumId w:val="24"/>
  </w:num>
  <w:num w:numId="8">
    <w:abstractNumId w:val="36"/>
  </w:num>
  <w:num w:numId="9">
    <w:abstractNumId w:val="0"/>
  </w:num>
  <w:num w:numId="10">
    <w:abstractNumId w:val="44"/>
  </w:num>
  <w:num w:numId="11">
    <w:abstractNumId w:val="13"/>
  </w:num>
  <w:num w:numId="12">
    <w:abstractNumId w:val="4"/>
  </w:num>
  <w:num w:numId="13">
    <w:abstractNumId w:val="1"/>
  </w:num>
  <w:num w:numId="14">
    <w:abstractNumId w:val="7"/>
  </w:num>
  <w:num w:numId="15">
    <w:abstractNumId w:val="40"/>
  </w:num>
  <w:num w:numId="16">
    <w:abstractNumId w:val="25"/>
  </w:num>
  <w:num w:numId="17">
    <w:abstractNumId w:val="17"/>
  </w:num>
  <w:num w:numId="18">
    <w:abstractNumId w:val="35"/>
  </w:num>
  <w:num w:numId="19">
    <w:abstractNumId w:val="9"/>
  </w:num>
  <w:num w:numId="20">
    <w:abstractNumId w:val="45"/>
  </w:num>
  <w:num w:numId="21">
    <w:abstractNumId w:val="20"/>
  </w:num>
  <w:num w:numId="22">
    <w:abstractNumId w:val="30"/>
  </w:num>
  <w:num w:numId="23">
    <w:abstractNumId w:val="10"/>
  </w:num>
  <w:num w:numId="24">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1"/>
  </w:num>
  <w:num w:numId="28">
    <w:abstractNumId w:val="14"/>
  </w:num>
  <w:num w:numId="29">
    <w:abstractNumId w:val="21"/>
  </w:num>
  <w:num w:numId="30">
    <w:abstractNumId w:val="34"/>
  </w:num>
  <w:num w:numId="31">
    <w:abstractNumId w:val="42"/>
  </w:num>
  <w:num w:numId="32">
    <w:abstractNumId w:val="11"/>
  </w:num>
  <w:num w:numId="3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26"/>
  </w:num>
  <w:num w:numId="36">
    <w:abstractNumId w:val="18"/>
  </w:num>
  <w:num w:numId="37">
    <w:abstractNumId w:val="16"/>
  </w:num>
  <w:num w:numId="38">
    <w:abstractNumId w:val="19"/>
  </w:num>
  <w:num w:numId="39">
    <w:abstractNumId w:val="33"/>
  </w:num>
  <w:num w:numId="40">
    <w:abstractNumId w:val="27"/>
  </w:num>
  <w:num w:numId="41">
    <w:abstractNumId w:val="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2"/>
  </w:num>
  <w:num w:numId="45">
    <w:abstractNumId w:val="43"/>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2B5"/>
    <w:rsid w:val="00014385"/>
    <w:rsid w:val="000148E7"/>
    <w:rsid w:val="000203F8"/>
    <w:rsid w:val="00024EDF"/>
    <w:rsid w:val="0004399A"/>
    <w:rsid w:val="00044952"/>
    <w:rsid w:val="00047DA0"/>
    <w:rsid w:val="000572C4"/>
    <w:rsid w:val="000573AD"/>
    <w:rsid w:val="00062894"/>
    <w:rsid w:val="000635E9"/>
    <w:rsid w:val="0006458A"/>
    <w:rsid w:val="0006491A"/>
    <w:rsid w:val="00065AEA"/>
    <w:rsid w:val="000677AA"/>
    <w:rsid w:val="00080489"/>
    <w:rsid w:val="0008448E"/>
    <w:rsid w:val="00091EB8"/>
    <w:rsid w:val="000A1365"/>
    <w:rsid w:val="000A254E"/>
    <w:rsid w:val="000B4335"/>
    <w:rsid w:val="000B6880"/>
    <w:rsid w:val="000C1BB5"/>
    <w:rsid w:val="000C1D64"/>
    <w:rsid w:val="000D0DF0"/>
    <w:rsid w:val="000D362F"/>
    <w:rsid w:val="000D47F9"/>
    <w:rsid w:val="000D69D9"/>
    <w:rsid w:val="000E038F"/>
    <w:rsid w:val="000E2ED8"/>
    <w:rsid w:val="000E5418"/>
    <w:rsid w:val="000E6B5D"/>
    <w:rsid w:val="000F249D"/>
    <w:rsid w:val="00114B20"/>
    <w:rsid w:val="00115009"/>
    <w:rsid w:val="00116E95"/>
    <w:rsid w:val="00120684"/>
    <w:rsid w:val="00120AAF"/>
    <w:rsid w:val="0012530B"/>
    <w:rsid w:val="00133B45"/>
    <w:rsid w:val="001376C0"/>
    <w:rsid w:val="00152464"/>
    <w:rsid w:val="001539C6"/>
    <w:rsid w:val="00155FE0"/>
    <w:rsid w:val="00161570"/>
    <w:rsid w:val="001868FA"/>
    <w:rsid w:val="0019076E"/>
    <w:rsid w:val="001924EE"/>
    <w:rsid w:val="00192BA2"/>
    <w:rsid w:val="001A24CE"/>
    <w:rsid w:val="001A5E09"/>
    <w:rsid w:val="001B2A46"/>
    <w:rsid w:val="001D6EF2"/>
    <w:rsid w:val="001D776D"/>
    <w:rsid w:val="001F17A8"/>
    <w:rsid w:val="001F21C1"/>
    <w:rsid w:val="001F63E5"/>
    <w:rsid w:val="001F7EB6"/>
    <w:rsid w:val="002002F4"/>
    <w:rsid w:val="00213B11"/>
    <w:rsid w:val="002233A1"/>
    <w:rsid w:val="00232467"/>
    <w:rsid w:val="002343C2"/>
    <w:rsid w:val="00240416"/>
    <w:rsid w:val="00244138"/>
    <w:rsid w:val="0025132F"/>
    <w:rsid w:val="00251C58"/>
    <w:rsid w:val="00253BE0"/>
    <w:rsid w:val="00264638"/>
    <w:rsid w:val="002668C9"/>
    <w:rsid w:val="00266E91"/>
    <w:rsid w:val="00272CBE"/>
    <w:rsid w:val="002735C0"/>
    <w:rsid w:val="00275B9B"/>
    <w:rsid w:val="0028267D"/>
    <w:rsid w:val="00282D61"/>
    <w:rsid w:val="00286101"/>
    <w:rsid w:val="00296F33"/>
    <w:rsid w:val="002B2BC1"/>
    <w:rsid w:val="002C02EF"/>
    <w:rsid w:val="002C3B77"/>
    <w:rsid w:val="002D1344"/>
    <w:rsid w:val="002E771A"/>
    <w:rsid w:val="002F15FD"/>
    <w:rsid w:val="002F4F82"/>
    <w:rsid w:val="002F566A"/>
    <w:rsid w:val="0031031B"/>
    <w:rsid w:val="003118D2"/>
    <w:rsid w:val="00332619"/>
    <w:rsid w:val="0033629C"/>
    <w:rsid w:val="00343A42"/>
    <w:rsid w:val="0034590C"/>
    <w:rsid w:val="003460A5"/>
    <w:rsid w:val="00352716"/>
    <w:rsid w:val="003549B0"/>
    <w:rsid w:val="00361C8B"/>
    <w:rsid w:val="003624CD"/>
    <w:rsid w:val="0036286B"/>
    <w:rsid w:val="0036446C"/>
    <w:rsid w:val="00371188"/>
    <w:rsid w:val="00380EC9"/>
    <w:rsid w:val="00385069"/>
    <w:rsid w:val="003872BD"/>
    <w:rsid w:val="00392638"/>
    <w:rsid w:val="0039511C"/>
    <w:rsid w:val="003958C8"/>
    <w:rsid w:val="003A0724"/>
    <w:rsid w:val="003A1D1C"/>
    <w:rsid w:val="003A4153"/>
    <w:rsid w:val="003B01C1"/>
    <w:rsid w:val="003B498C"/>
    <w:rsid w:val="003B534B"/>
    <w:rsid w:val="003B6784"/>
    <w:rsid w:val="003C3843"/>
    <w:rsid w:val="003D1C77"/>
    <w:rsid w:val="003D6858"/>
    <w:rsid w:val="003E499C"/>
    <w:rsid w:val="003F5509"/>
    <w:rsid w:val="003F5851"/>
    <w:rsid w:val="003F661C"/>
    <w:rsid w:val="00407E9F"/>
    <w:rsid w:val="004152B5"/>
    <w:rsid w:val="0042517C"/>
    <w:rsid w:val="004265A2"/>
    <w:rsid w:val="004307F3"/>
    <w:rsid w:val="00435656"/>
    <w:rsid w:val="00443F0A"/>
    <w:rsid w:val="00444DC9"/>
    <w:rsid w:val="00451BF5"/>
    <w:rsid w:val="0045490A"/>
    <w:rsid w:val="00464AB8"/>
    <w:rsid w:val="0047152C"/>
    <w:rsid w:val="00474C98"/>
    <w:rsid w:val="00475755"/>
    <w:rsid w:val="00482BB2"/>
    <w:rsid w:val="004929CA"/>
    <w:rsid w:val="004A4270"/>
    <w:rsid w:val="004B02D7"/>
    <w:rsid w:val="004B2299"/>
    <w:rsid w:val="004B2C35"/>
    <w:rsid w:val="004B3E5F"/>
    <w:rsid w:val="004B606E"/>
    <w:rsid w:val="004C319F"/>
    <w:rsid w:val="004C4EB1"/>
    <w:rsid w:val="004C6AD3"/>
    <w:rsid w:val="004F102A"/>
    <w:rsid w:val="004F5642"/>
    <w:rsid w:val="004F6A31"/>
    <w:rsid w:val="0051186A"/>
    <w:rsid w:val="00516984"/>
    <w:rsid w:val="00532369"/>
    <w:rsid w:val="00537C67"/>
    <w:rsid w:val="00554E41"/>
    <w:rsid w:val="00565ADC"/>
    <w:rsid w:val="00567610"/>
    <w:rsid w:val="0057308A"/>
    <w:rsid w:val="005930B7"/>
    <w:rsid w:val="00595AB6"/>
    <w:rsid w:val="005A769E"/>
    <w:rsid w:val="005C293F"/>
    <w:rsid w:val="005D5E77"/>
    <w:rsid w:val="005E42D9"/>
    <w:rsid w:val="005E5DB0"/>
    <w:rsid w:val="005F312C"/>
    <w:rsid w:val="00600217"/>
    <w:rsid w:val="00601775"/>
    <w:rsid w:val="00601F8D"/>
    <w:rsid w:val="0060520A"/>
    <w:rsid w:val="006230A4"/>
    <w:rsid w:val="00626EB0"/>
    <w:rsid w:val="006316A6"/>
    <w:rsid w:val="0063762E"/>
    <w:rsid w:val="00637782"/>
    <w:rsid w:val="00637B23"/>
    <w:rsid w:val="00640C0E"/>
    <w:rsid w:val="0064567E"/>
    <w:rsid w:val="0065438D"/>
    <w:rsid w:val="00662EC4"/>
    <w:rsid w:val="00671915"/>
    <w:rsid w:val="00672771"/>
    <w:rsid w:val="0067305F"/>
    <w:rsid w:val="00674D16"/>
    <w:rsid w:val="006758F5"/>
    <w:rsid w:val="00675A75"/>
    <w:rsid w:val="00675F6E"/>
    <w:rsid w:val="006764F0"/>
    <w:rsid w:val="00683215"/>
    <w:rsid w:val="006832F0"/>
    <w:rsid w:val="0068477F"/>
    <w:rsid w:val="00692CD0"/>
    <w:rsid w:val="00695DA3"/>
    <w:rsid w:val="00696C14"/>
    <w:rsid w:val="00697094"/>
    <w:rsid w:val="006A1547"/>
    <w:rsid w:val="006A7937"/>
    <w:rsid w:val="006B4629"/>
    <w:rsid w:val="006C1DF1"/>
    <w:rsid w:val="006D1B9F"/>
    <w:rsid w:val="006D5B74"/>
    <w:rsid w:val="006E0B08"/>
    <w:rsid w:val="006F0AC9"/>
    <w:rsid w:val="006F2993"/>
    <w:rsid w:val="006F48D5"/>
    <w:rsid w:val="00701A09"/>
    <w:rsid w:val="00710697"/>
    <w:rsid w:val="00713D78"/>
    <w:rsid w:val="00716996"/>
    <w:rsid w:val="0072505A"/>
    <w:rsid w:val="007274DE"/>
    <w:rsid w:val="00733817"/>
    <w:rsid w:val="00737225"/>
    <w:rsid w:val="00741AB4"/>
    <w:rsid w:val="00750E43"/>
    <w:rsid w:val="00761A31"/>
    <w:rsid w:val="007663A3"/>
    <w:rsid w:val="00767517"/>
    <w:rsid w:val="00767E4A"/>
    <w:rsid w:val="0077061D"/>
    <w:rsid w:val="0077304E"/>
    <w:rsid w:val="00773AC9"/>
    <w:rsid w:val="00775EBC"/>
    <w:rsid w:val="0078160D"/>
    <w:rsid w:val="00786E43"/>
    <w:rsid w:val="007871D4"/>
    <w:rsid w:val="00792AA2"/>
    <w:rsid w:val="00796A79"/>
    <w:rsid w:val="007B021B"/>
    <w:rsid w:val="007B140D"/>
    <w:rsid w:val="007C3D0E"/>
    <w:rsid w:val="007E2632"/>
    <w:rsid w:val="007F3E79"/>
    <w:rsid w:val="0080045B"/>
    <w:rsid w:val="008011B5"/>
    <w:rsid w:val="00805B62"/>
    <w:rsid w:val="0081459D"/>
    <w:rsid w:val="008152CC"/>
    <w:rsid w:val="00820AD7"/>
    <w:rsid w:val="008239C9"/>
    <w:rsid w:val="00832F3E"/>
    <w:rsid w:val="008337D9"/>
    <w:rsid w:val="00833A8E"/>
    <w:rsid w:val="00835391"/>
    <w:rsid w:val="0084629B"/>
    <w:rsid w:val="0086681B"/>
    <w:rsid w:val="00870333"/>
    <w:rsid w:val="00870734"/>
    <w:rsid w:val="00870BCB"/>
    <w:rsid w:val="00884AB6"/>
    <w:rsid w:val="00885CA2"/>
    <w:rsid w:val="00890E06"/>
    <w:rsid w:val="00892C34"/>
    <w:rsid w:val="0089755A"/>
    <w:rsid w:val="008A6BCF"/>
    <w:rsid w:val="008B22CF"/>
    <w:rsid w:val="008B2C22"/>
    <w:rsid w:val="008B41AE"/>
    <w:rsid w:val="008B7753"/>
    <w:rsid w:val="008D2B04"/>
    <w:rsid w:val="008D2B50"/>
    <w:rsid w:val="008D4C1D"/>
    <w:rsid w:val="008E006E"/>
    <w:rsid w:val="008E30C0"/>
    <w:rsid w:val="008E7392"/>
    <w:rsid w:val="008E76F3"/>
    <w:rsid w:val="008F27A6"/>
    <w:rsid w:val="008F2C52"/>
    <w:rsid w:val="008F322D"/>
    <w:rsid w:val="008F5B01"/>
    <w:rsid w:val="009006F7"/>
    <w:rsid w:val="009036C6"/>
    <w:rsid w:val="009060A4"/>
    <w:rsid w:val="00914FBE"/>
    <w:rsid w:val="0093327C"/>
    <w:rsid w:val="00935DA7"/>
    <w:rsid w:val="00937BD3"/>
    <w:rsid w:val="00947BFB"/>
    <w:rsid w:val="00955021"/>
    <w:rsid w:val="00970D44"/>
    <w:rsid w:val="009756DA"/>
    <w:rsid w:val="009764C4"/>
    <w:rsid w:val="0098795B"/>
    <w:rsid w:val="0099292A"/>
    <w:rsid w:val="0099530F"/>
    <w:rsid w:val="00996DD0"/>
    <w:rsid w:val="009A1027"/>
    <w:rsid w:val="009A1211"/>
    <w:rsid w:val="009C131F"/>
    <w:rsid w:val="009C5A94"/>
    <w:rsid w:val="009C64FD"/>
    <w:rsid w:val="009D17EA"/>
    <w:rsid w:val="009D31C3"/>
    <w:rsid w:val="009D61A4"/>
    <w:rsid w:val="009E2446"/>
    <w:rsid w:val="009E6556"/>
    <w:rsid w:val="009E674C"/>
    <w:rsid w:val="009F2447"/>
    <w:rsid w:val="009F2B10"/>
    <w:rsid w:val="009F5467"/>
    <w:rsid w:val="009F5A4E"/>
    <w:rsid w:val="009F6962"/>
    <w:rsid w:val="00A02A16"/>
    <w:rsid w:val="00A031BB"/>
    <w:rsid w:val="00A041C4"/>
    <w:rsid w:val="00A10D1F"/>
    <w:rsid w:val="00A14574"/>
    <w:rsid w:val="00A23032"/>
    <w:rsid w:val="00A23CB5"/>
    <w:rsid w:val="00A2648D"/>
    <w:rsid w:val="00A305C5"/>
    <w:rsid w:val="00A30D76"/>
    <w:rsid w:val="00A33D25"/>
    <w:rsid w:val="00A41DC1"/>
    <w:rsid w:val="00A43EFB"/>
    <w:rsid w:val="00A53976"/>
    <w:rsid w:val="00A53C98"/>
    <w:rsid w:val="00A57A91"/>
    <w:rsid w:val="00A657C2"/>
    <w:rsid w:val="00A70E72"/>
    <w:rsid w:val="00A82501"/>
    <w:rsid w:val="00A92A5B"/>
    <w:rsid w:val="00A93379"/>
    <w:rsid w:val="00AA3288"/>
    <w:rsid w:val="00AB2E5B"/>
    <w:rsid w:val="00AB33DC"/>
    <w:rsid w:val="00AB46F1"/>
    <w:rsid w:val="00AB534D"/>
    <w:rsid w:val="00AC65C1"/>
    <w:rsid w:val="00AE69EE"/>
    <w:rsid w:val="00B0063C"/>
    <w:rsid w:val="00B11542"/>
    <w:rsid w:val="00B262E3"/>
    <w:rsid w:val="00B30CE7"/>
    <w:rsid w:val="00B3744E"/>
    <w:rsid w:val="00B44C1C"/>
    <w:rsid w:val="00B56EB3"/>
    <w:rsid w:val="00B579E4"/>
    <w:rsid w:val="00B61EAE"/>
    <w:rsid w:val="00B9445F"/>
    <w:rsid w:val="00B9565C"/>
    <w:rsid w:val="00BA0888"/>
    <w:rsid w:val="00BA5CD3"/>
    <w:rsid w:val="00BA6B27"/>
    <w:rsid w:val="00BB3142"/>
    <w:rsid w:val="00BC1F74"/>
    <w:rsid w:val="00BC28B6"/>
    <w:rsid w:val="00BC4B80"/>
    <w:rsid w:val="00BD3742"/>
    <w:rsid w:val="00BD3D24"/>
    <w:rsid w:val="00BD7CBE"/>
    <w:rsid w:val="00BE5DAD"/>
    <w:rsid w:val="00BF7826"/>
    <w:rsid w:val="00C06C0D"/>
    <w:rsid w:val="00C11E15"/>
    <w:rsid w:val="00C15BD8"/>
    <w:rsid w:val="00C229BC"/>
    <w:rsid w:val="00C26F89"/>
    <w:rsid w:val="00C3007D"/>
    <w:rsid w:val="00C3091E"/>
    <w:rsid w:val="00C30F6C"/>
    <w:rsid w:val="00C47296"/>
    <w:rsid w:val="00C50DBE"/>
    <w:rsid w:val="00C516EF"/>
    <w:rsid w:val="00C52C66"/>
    <w:rsid w:val="00C5723A"/>
    <w:rsid w:val="00C661CB"/>
    <w:rsid w:val="00C726C5"/>
    <w:rsid w:val="00C73AB9"/>
    <w:rsid w:val="00C7522A"/>
    <w:rsid w:val="00C76A8C"/>
    <w:rsid w:val="00C81862"/>
    <w:rsid w:val="00C87F35"/>
    <w:rsid w:val="00C938F6"/>
    <w:rsid w:val="00C93CD1"/>
    <w:rsid w:val="00CA0103"/>
    <w:rsid w:val="00CB2EC9"/>
    <w:rsid w:val="00CB36B6"/>
    <w:rsid w:val="00CB7690"/>
    <w:rsid w:val="00CC26C8"/>
    <w:rsid w:val="00CC5FD0"/>
    <w:rsid w:val="00CD3977"/>
    <w:rsid w:val="00CE7360"/>
    <w:rsid w:val="00CE7571"/>
    <w:rsid w:val="00CF0ACA"/>
    <w:rsid w:val="00CF736F"/>
    <w:rsid w:val="00CF774E"/>
    <w:rsid w:val="00CF7D4C"/>
    <w:rsid w:val="00D0290C"/>
    <w:rsid w:val="00D22FF3"/>
    <w:rsid w:val="00D23F8A"/>
    <w:rsid w:val="00D3396F"/>
    <w:rsid w:val="00D34077"/>
    <w:rsid w:val="00D407CA"/>
    <w:rsid w:val="00D430A8"/>
    <w:rsid w:val="00D452A0"/>
    <w:rsid w:val="00D67A9C"/>
    <w:rsid w:val="00D7386C"/>
    <w:rsid w:val="00D8718F"/>
    <w:rsid w:val="00D96C90"/>
    <w:rsid w:val="00DA26E9"/>
    <w:rsid w:val="00DA3650"/>
    <w:rsid w:val="00DA5BE4"/>
    <w:rsid w:val="00DC059B"/>
    <w:rsid w:val="00DC1616"/>
    <w:rsid w:val="00DC1AA4"/>
    <w:rsid w:val="00DC2A05"/>
    <w:rsid w:val="00DC323F"/>
    <w:rsid w:val="00DC4E41"/>
    <w:rsid w:val="00DD090D"/>
    <w:rsid w:val="00DD1637"/>
    <w:rsid w:val="00DD1A5F"/>
    <w:rsid w:val="00DE0543"/>
    <w:rsid w:val="00DE5C64"/>
    <w:rsid w:val="00DF2209"/>
    <w:rsid w:val="00DF4852"/>
    <w:rsid w:val="00DF5F5C"/>
    <w:rsid w:val="00E00339"/>
    <w:rsid w:val="00E008E5"/>
    <w:rsid w:val="00E10861"/>
    <w:rsid w:val="00E12311"/>
    <w:rsid w:val="00E1602B"/>
    <w:rsid w:val="00E2132E"/>
    <w:rsid w:val="00E21432"/>
    <w:rsid w:val="00E25A54"/>
    <w:rsid w:val="00E26E68"/>
    <w:rsid w:val="00E329FF"/>
    <w:rsid w:val="00E37BD5"/>
    <w:rsid w:val="00E4291B"/>
    <w:rsid w:val="00E61D8E"/>
    <w:rsid w:val="00E64C60"/>
    <w:rsid w:val="00E66CF4"/>
    <w:rsid w:val="00E70312"/>
    <w:rsid w:val="00E72F1A"/>
    <w:rsid w:val="00E74058"/>
    <w:rsid w:val="00E755F7"/>
    <w:rsid w:val="00E836BB"/>
    <w:rsid w:val="00E83B4B"/>
    <w:rsid w:val="00E84AB7"/>
    <w:rsid w:val="00E84FA0"/>
    <w:rsid w:val="00E85351"/>
    <w:rsid w:val="00E85B41"/>
    <w:rsid w:val="00E921B9"/>
    <w:rsid w:val="00E95121"/>
    <w:rsid w:val="00E97BB3"/>
    <w:rsid w:val="00EA56CD"/>
    <w:rsid w:val="00EB1B60"/>
    <w:rsid w:val="00EB3B07"/>
    <w:rsid w:val="00EB5825"/>
    <w:rsid w:val="00EB6A45"/>
    <w:rsid w:val="00EB6FC4"/>
    <w:rsid w:val="00EB7257"/>
    <w:rsid w:val="00EC0CFE"/>
    <w:rsid w:val="00EC6DBB"/>
    <w:rsid w:val="00EC7199"/>
    <w:rsid w:val="00ED15CF"/>
    <w:rsid w:val="00ED2A09"/>
    <w:rsid w:val="00ED2C3D"/>
    <w:rsid w:val="00ED666B"/>
    <w:rsid w:val="00ED6E35"/>
    <w:rsid w:val="00ED6F39"/>
    <w:rsid w:val="00EE1F3A"/>
    <w:rsid w:val="00EE3967"/>
    <w:rsid w:val="00F05F58"/>
    <w:rsid w:val="00F070A9"/>
    <w:rsid w:val="00F23A58"/>
    <w:rsid w:val="00F248E3"/>
    <w:rsid w:val="00F26840"/>
    <w:rsid w:val="00F36D71"/>
    <w:rsid w:val="00F52765"/>
    <w:rsid w:val="00F546EA"/>
    <w:rsid w:val="00F6330B"/>
    <w:rsid w:val="00F74C7C"/>
    <w:rsid w:val="00F7763B"/>
    <w:rsid w:val="00F8604E"/>
    <w:rsid w:val="00F866CD"/>
    <w:rsid w:val="00F90B50"/>
    <w:rsid w:val="00FA3E26"/>
    <w:rsid w:val="00FB16BE"/>
    <w:rsid w:val="00FB540E"/>
    <w:rsid w:val="00FC0118"/>
    <w:rsid w:val="00FC0B8A"/>
    <w:rsid w:val="00FC1E57"/>
    <w:rsid w:val="00FC373A"/>
    <w:rsid w:val="00FD0700"/>
    <w:rsid w:val="00FD2255"/>
    <w:rsid w:val="00FD35FC"/>
    <w:rsid w:val="00FD5ED9"/>
    <w:rsid w:val="00FE3739"/>
    <w:rsid w:val="00FE5EC2"/>
    <w:rsid w:val="00FE6308"/>
    <w:rsid w:val="00FF28D0"/>
    <w:rsid w:val="00FF4CB3"/>
    <w:rsid w:val="00FF4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E53BED-C1C6-4D46-96EB-320BDC70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737350">
      <w:bodyDiv w:val="1"/>
      <w:marLeft w:val="0"/>
      <w:marRight w:val="0"/>
      <w:marTop w:val="0"/>
      <w:marBottom w:val="0"/>
      <w:divBdr>
        <w:top w:val="none" w:sz="0" w:space="0" w:color="auto"/>
        <w:left w:val="none" w:sz="0" w:space="0" w:color="auto"/>
        <w:bottom w:val="none" w:sz="0" w:space="0" w:color="auto"/>
        <w:right w:val="none" w:sz="0" w:space="0" w:color="auto"/>
      </w:divBdr>
    </w:div>
    <w:div w:id="953488008">
      <w:bodyDiv w:val="1"/>
      <w:marLeft w:val="0"/>
      <w:marRight w:val="0"/>
      <w:marTop w:val="0"/>
      <w:marBottom w:val="0"/>
      <w:divBdr>
        <w:top w:val="none" w:sz="0" w:space="0" w:color="auto"/>
        <w:left w:val="none" w:sz="0" w:space="0" w:color="auto"/>
        <w:bottom w:val="none" w:sz="0" w:space="0" w:color="auto"/>
        <w:right w:val="none" w:sz="0" w:space="0" w:color="auto"/>
      </w:divBdr>
    </w:div>
    <w:div w:id="1404372635">
      <w:bodyDiv w:val="1"/>
      <w:marLeft w:val="0"/>
      <w:marRight w:val="0"/>
      <w:marTop w:val="0"/>
      <w:marBottom w:val="0"/>
      <w:divBdr>
        <w:top w:val="none" w:sz="0" w:space="0" w:color="auto"/>
        <w:left w:val="none" w:sz="0" w:space="0" w:color="auto"/>
        <w:bottom w:val="none" w:sz="0" w:space="0" w:color="auto"/>
        <w:right w:val="none" w:sz="0" w:space="0" w:color="auto"/>
      </w:divBdr>
    </w:div>
    <w:div w:id="193810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3D0914-6FAE-4B30-BBFD-26FFF6600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468</Words>
  <Characters>2669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EMC Engineers, Inc.</Company>
  <LinksUpToDate>false</LinksUpToDate>
  <CharactersWithSpaces>3131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Nate Boyd</dc:creator>
  <cp:lastModifiedBy>Nathaniel Boyd</cp:lastModifiedBy>
  <cp:revision>5</cp:revision>
  <cp:lastPrinted>2015-06-24T16:53:00Z</cp:lastPrinted>
  <dcterms:created xsi:type="dcterms:W3CDTF">2016-06-28T16:06:00Z</dcterms:created>
  <dcterms:modified xsi:type="dcterms:W3CDTF">2016-06-28T16:25:00Z</dcterms:modified>
</cp:coreProperties>
</file>