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EDC" w:rsidRDefault="00A40EDC">
      <w:pPr>
        <w:spacing w:after="0" w:line="240" w:lineRule="auto"/>
        <w:ind w:left="402" w:right="28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Minutes</w:t>
      </w:r>
    </w:p>
    <w:p w:rsidR="00D732B9" w:rsidRDefault="003D7D90">
      <w:pPr>
        <w:spacing w:after="0" w:line="240" w:lineRule="auto"/>
        <w:ind w:left="402" w:right="280"/>
        <w:jc w:val="center"/>
        <w:rPr>
          <w:rFonts w:ascii="Times New Roman" w:eastAsia="Times New Roman" w:hAnsi="Times New Roman" w:cs="Times New Roman"/>
          <w:sz w:val="32"/>
          <w:szCs w:val="32"/>
        </w:rPr>
      </w:pPr>
      <w:r>
        <w:rPr>
          <w:rFonts w:ascii="Times New Roman" w:eastAsia="Times New Roman" w:hAnsi="Times New Roman" w:cs="Times New Roman"/>
          <w:b/>
          <w:bCs/>
          <w:sz w:val="32"/>
          <w:szCs w:val="32"/>
        </w:rPr>
        <w:t>TC 7.6 Monitoring and Ene</w:t>
      </w:r>
      <w:r>
        <w:rPr>
          <w:rFonts w:ascii="Times New Roman" w:eastAsia="Times New Roman" w:hAnsi="Times New Roman" w:cs="Times New Roman"/>
          <w:b/>
          <w:bCs/>
          <w:spacing w:val="-1"/>
          <w:sz w:val="32"/>
          <w:szCs w:val="32"/>
        </w:rPr>
        <w:t>r</w:t>
      </w:r>
      <w:r>
        <w:rPr>
          <w:rFonts w:ascii="Times New Roman" w:eastAsia="Times New Roman" w:hAnsi="Times New Roman" w:cs="Times New Roman"/>
          <w:b/>
          <w:bCs/>
          <w:sz w:val="32"/>
          <w:szCs w:val="32"/>
        </w:rPr>
        <w:t>gy Performance Subcommittee</w:t>
      </w:r>
    </w:p>
    <w:p w:rsidR="00D732B9" w:rsidRDefault="002510BE">
      <w:pPr>
        <w:spacing w:before="29" w:after="0" w:line="240" w:lineRule="auto"/>
        <w:ind w:left="1982" w:right="186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Seattle</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10"/>
          <w:sz w:val="28"/>
          <w:szCs w:val="28"/>
        </w:rPr>
        <w:t xml:space="preserve"> </w:t>
      </w:r>
      <w:r>
        <w:rPr>
          <w:rFonts w:ascii="Times New Roman" w:eastAsia="Times New Roman" w:hAnsi="Times New Roman" w:cs="Times New Roman"/>
          <w:spacing w:val="-10"/>
          <w:sz w:val="28"/>
          <w:szCs w:val="28"/>
        </w:rPr>
        <w:t>WA</w:t>
      </w:r>
      <w:r w:rsidR="003D7D90">
        <w:rPr>
          <w:rFonts w:ascii="Times New Roman" w:eastAsia="Times New Roman" w:hAnsi="Times New Roman" w:cs="Times New Roman"/>
          <w:spacing w:val="-4"/>
          <w:sz w:val="28"/>
          <w:szCs w:val="28"/>
        </w:rPr>
        <w:t xml:space="preserve"> </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3"/>
          <w:sz w:val="28"/>
          <w:szCs w:val="28"/>
        </w:rPr>
        <w:t xml:space="preserve"> </w:t>
      </w:r>
      <w:r w:rsidR="003D7D90">
        <w:rPr>
          <w:rFonts w:ascii="Times New Roman" w:eastAsia="Times New Roman" w:hAnsi="Times New Roman" w:cs="Times New Roman"/>
          <w:sz w:val="28"/>
          <w:szCs w:val="28"/>
        </w:rPr>
        <w:t>Monday,</w:t>
      </w:r>
      <w:r w:rsidR="003D7D90">
        <w:rPr>
          <w:rFonts w:ascii="Times New Roman" w:eastAsia="Times New Roman" w:hAnsi="Times New Roman" w:cs="Times New Roman"/>
          <w:spacing w:val="-10"/>
          <w:sz w:val="28"/>
          <w:szCs w:val="28"/>
        </w:rPr>
        <w:t xml:space="preserve"> </w:t>
      </w:r>
      <w:r w:rsidR="003D7D90">
        <w:rPr>
          <w:rFonts w:ascii="Times New Roman" w:eastAsia="Times New Roman" w:hAnsi="Times New Roman" w:cs="Times New Roman"/>
          <w:sz w:val="28"/>
          <w:szCs w:val="28"/>
        </w:rPr>
        <w:t>J</w:t>
      </w:r>
      <w:r>
        <w:rPr>
          <w:rFonts w:ascii="Times New Roman" w:eastAsia="Times New Roman" w:hAnsi="Times New Roman" w:cs="Times New Roman"/>
          <w:sz w:val="28"/>
          <w:szCs w:val="28"/>
        </w:rPr>
        <w:t>une</w:t>
      </w:r>
      <w:r w:rsidR="003D7D90">
        <w:rPr>
          <w:rFonts w:ascii="Times New Roman" w:eastAsia="Times New Roman" w:hAnsi="Times New Roman" w:cs="Times New Roman"/>
          <w:spacing w:val="-5"/>
          <w:sz w:val="28"/>
          <w:szCs w:val="28"/>
        </w:rPr>
        <w:t xml:space="preserve"> </w:t>
      </w:r>
      <w:r>
        <w:rPr>
          <w:rFonts w:ascii="Times New Roman" w:eastAsia="Times New Roman" w:hAnsi="Times New Roman" w:cs="Times New Roman"/>
          <w:spacing w:val="-5"/>
          <w:sz w:val="28"/>
          <w:szCs w:val="28"/>
        </w:rPr>
        <w:t>30</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3"/>
          <w:sz w:val="28"/>
          <w:szCs w:val="28"/>
        </w:rPr>
        <w:t xml:space="preserve"> </w:t>
      </w:r>
      <w:r w:rsidR="003D7D90">
        <w:rPr>
          <w:rFonts w:ascii="Times New Roman" w:eastAsia="Times New Roman" w:hAnsi="Times New Roman" w:cs="Times New Roman"/>
          <w:w w:val="99"/>
          <w:sz w:val="28"/>
          <w:szCs w:val="28"/>
        </w:rPr>
        <w:t>201</w:t>
      </w:r>
      <w:r w:rsidR="00D0013D">
        <w:rPr>
          <w:rFonts w:ascii="Times New Roman" w:eastAsia="Times New Roman" w:hAnsi="Times New Roman" w:cs="Times New Roman"/>
          <w:w w:val="99"/>
          <w:sz w:val="28"/>
          <w:szCs w:val="28"/>
        </w:rPr>
        <w:t>4</w:t>
      </w:r>
    </w:p>
    <w:p w:rsidR="00D732B9" w:rsidRDefault="003D7D90">
      <w:pPr>
        <w:spacing w:before="38" w:after="0" w:line="240" w:lineRule="auto"/>
        <w:ind w:left="3068" w:right="294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Dennis</w:t>
      </w:r>
      <w:r w:rsidR="00D0013D">
        <w:rPr>
          <w:rFonts w:ascii="Times New Roman" w:eastAsia="Times New Roman" w:hAnsi="Times New Roman" w:cs="Times New Roman"/>
          <w:sz w:val="28"/>
          <w:szCs w:val="28"/>
        </w:rPr>
        <w:t xml:space="preserve"> R.</w:t>
      </w:r>
      <w:r>
        <w:rPr>
          <w:rFonts w:ascii="Times New Roman" w:eastAsia="Times New Roman" w:hAnsi="Times New Roman" w:cs="Times New Roman"/>
          <w:spacing w:val="-8"/>
          <w:sz w:val="28"/>
          <w:szCs w:val="28"/>
        </w:rPr>
        <w:t xml:space="preserve"> </w:t>
      </w:r>
      <w:r>
        <w:rPr>
          <w:rFonts w:ascii="Times New Roman" w:eastAsia="Times New Roman" w:hAnsi="Times New Roman" w:cs="Times New Roman"/>
          <w:sz w:val="28"/>
          <w:szCs w:val="28"/>
        </w:rPr>
        <w:t>Landsberg,</w:t>
      </w:r>
      <w:r>
        <w:rPr>
          <w:rFonts w:ascii="Times New Roman" w:eastAsia="Times New Roman" w:hAnsi="Times New Roman" w:cs="Times New Roman"/>
          <w:spacing w:val="-13"/>
          <w:sz w:val="28"/>
          <w:szCs w:val="28"/>
        </w:rPr>
        <w:t xml:space="preserve"> </w:t>
      </w:r>
      <w:r>
        <w:rPr>
          <w:rFonts w:ascii="Times New Roman" w:eastAsia="Times New Roman" w:hAnsi="Times New Roman" w:cs="Times New Roman"/>
          <w:w w:val="99"/>
          <w:sz w:val="28"/>
          <w:szCs w:val="28"/>
        </w:rPr>
        <w:t>Chair</w:t>
      </w:r>
    </w:p>
    <w:p w:rsidR="00D732B9" w:rsidRDefault="00D732B9">
      <w:pPr>
        <w:spacing w:before="6" w:after="0" w:line="150" w:lineRule="exact"/>
        <w:rPr>
          <w:sz w:val="15"/>
          <w:szCs w:val="15"/>
        </w:rPr>
      </w:pPr>
    </w:p>
    <w:p w:rsidR="00D732B9" w:rsidRDefault="00D732B9">
      <w:pPr>
        <w:spacing w:after="0" w:line="200" w:lineRule="exact"/>
        <w:rPr>
          <w:sz w:val="20"/>
          <w:szCs w:val="20"/>
        </w:rPr>
      </w:pPr>
    </w:p>
    <w:p w:rsidR="00D732B9" w:rsidRDefault="003D7D90" w:rsidP="00B23452">
      <w:pPr>
        <w:spacing w:after="0" w:line="240" w:lineRule="auto"/>
        <w:ind w:left="432" w:right="-20" w:hanging="432"/>
        <w:rPr>
          <w:rFonts w:ascii="Times New Roman" w:eastAsia="Times New Roman" w:hAnsi="Times New Roman" w:cs="Times New Roman"/>
        </w:rPr>
      </w:pPr>
      <w:r>
        <w:rPr>
          <w:rFonts w:ascii="Times New Roman" w:eastAsia="Times New Roman" w:hAnsi="Times New Roman" w:cs="Times New Roman"/>
        </w:rPr>
        <w:t>The</w:t>
      </w:r>
      <w:r>
        <w:rPr>
          <w:rFonts w:ascii="Times New Roman" w:eastAsia="Times New Roman" w:hAnsi="Times New Roman" w:cs="Times New Roman"/>
          <w:spacing w:val="-3"/>
        </w:rPr>
        <w:t xml:space="preserve"> </w:t>
      </w:r>
      <w:r>
        <w:rPr>
          <w:rFonts w:ascii="Times New Roman" w:eastAsia="Times New Roman" w:hAnsi="Times New Roman" w:cs="Times New Roman"/>
        </w:rPr>
        <w:t>meeting</w:t>
      </w:r>
      <w:r>
        <w:rPr>
          <w:rFonts w:ascii="Times New Roman" w:eastAsia="Times New Roman" w:hAnsi="Times New Roman" w:cs="Times New Roman"/>
          <w:spacing w:val="-7"/>
        </w:rPr>
        <w:t xml:space="preserve"> </w:t>
      </w:r>
      <w:r>
        <w:rPr>
          <w:rFonts w:ascii="Times New Roman" w:eastAsia="Times New Roman" w:hAnsi="Times New Roman" w:cs="Times New Roman"/>
        </w:rPr>
        <w:t>was</w:t>
      </w:r>
      <w:r>
        <w:rPr>
          <w:rFonts w:ascii="Times New Roman" w:eastAsia="Times New Roman" w:hAnsi="Times New Roman" w:cs="Times New Roman"/>
          <w:spacing w:val="-3"/>
        </w:rPr>
        <w:t xml:space="preserve"> </w:t>
      </w:r>
      <w:r>
        <w:rPr>
          <w:rFonts w:ascii="Times New Roman" w:eastAsia="Times New Roman" w:hAnsi="Times New Roman" w:cs="Times New Roman"/>
        </w:rPr>
        <w:t>at</w:t>
      </w:r>
      <w:r>
        <w:rPr>
          <w:rFonts w:ascii="Times New Roman" w:eastAsia="Times New Roman" w:hAnsi="Times New Roman" w:cs="Times New Roman"/>
          <w:spacing w:val="1"/>
        </w:rPr>
        <w:t>t</w:t>
      </w:r>
      <w:r>
        <w:rPr>
          <w:rFonts w:ascii="Times New Roman" w:eastAsia="Times New Roman" w:hAnsi="Times New Roman" w:cs="Times New Roman"/>
        </w:rPr>
        <w:t>ended</w:t>
      </w:r>
      <w:r>
        <w:rPr>
          <w:rFonts w:ascii="Times New Roman" w:eastAsia="Times New Roman" w:hAnsi="Times New Roman" w:cs="Times New Roman"/>
          <w:spacing w:val="-7"/>
        </w:rPr>
        <w:t xml:space="preserve"> </w:t>
      </w:r>
      <w:r>
        <w:rPr>
          <w:rFonts w:ascii="Times New Roman" w:eastAsia="Times New Roman" w:hAnsi="Times New Roman" w:cs="Times New Roman"/>
        </w:rPr>
        <w:t xml:space="preserve">by </w:t>
      </w:r>
      <w:r w:rsidR="002510BE">
        <w:rPr>
          <w:rFonts w:ascii="Times New Roman" w:eastAsia="Times New Roman" w:hAnsi="Times New Roman" w:cs="Times New Roman"/>
          <w:b/>
          <w:bCs/>
          <w:spacing w:val="-1"/>
        </w:rPr>
        <w:t>6</w:t>
      </w:r>
      <w:r>
        <w:rPr>
          <w:rFonts w:ascii="Times New Roman" w:eastAsia="Times New Roman" w:hAnsi="Times New Roman" w:cs="Times New Roman"/>
          <w:b/>
          <w:bCs/>
          <w:spacing w:val="-1"/>
        </w:rPr>
        <w:t xml:space="preserve"> </w:t>
      </w:r>
      <w:r>
        <w:rPr>
          <w:rFonts w:ascii="Times New Roman" w:eastAsia="Times New Roman" w:hAnsi="Times New Roman" w:cs="Times New Roman"/>
          <w:spacing w:val="-2"/>
        </w:rPr>
        <w:t>m</w:t>
      </w:r>
      <w:r>
        <w:rPr>
          <w:rFonts w:ascii="Times New Roman" w:eastAsia="Times New Roman" w:hAnsi="Times New Roman" w:cs="Times New Roman"/>
          <w:spacing w:val="1"/>
        </w:rPr>
        <w:t>e</w:t>
      </w:r>
      <w:r>
        <w:rPr>
          <w:rFonts w:ascii="Times New Roman" w:eastAsia="Times New Roman" w:hAnsi="Times New Roman" w:cs="Times New Roman"/>
        </w:rPr>
        <w:t>mb</w:t>
      </w:r>
      <w:r>
        <w:rPr>
          <w:rFonts w:ascii="Times New Roman" w:eastAsia="Times New Roman" w:hAnsi="Times New Roman" w:cs="Times New Roman"/>
          <w:spacing w:val="1"/>
        </w:rPr>
        <w:t>e</w:t>
      </w:r>
      <w:r>
        <w:rPr>
          <w:rFonts w:ascii="Times New Roman" w:eastAsia="Times New Roman" w:hAnsi="Times New Roman" w:cs="Times New Roman"/>
        </w:rPr>
        <w:t>rs</w:t>
      </w:r>
      <w:r>
        <w:rPr>
          <w:rFonts w:ascii="Times New Roman" w:eastAsia="Times New Roman" w:hAnsi="Times New Roman" w:cs="Times New Roman"/>
          <w:spacing w:val="-8"/>
        </w:rPr>
        <w:t xml:space="preserve"> </w:t>
      </w:r>
      <w:r>
        <w:rPr>
          <w:rFonts w:ascii="Times New Roman" w:eastAsia="Times New Roman" w:hAnsi="Times New Roman" w:cs="Times New Roman"/>
        </w:rPr>
        <w:t>of</w:t>
      </w:r>
      <w:r>
        <w:rPr>
          <w:rFonts w:ascii="Times New Roman" w:eastAsia="Times New Roman" w:hAnsi="Times New Roman" w:cs="Times New Roman"/>
          <w:spacing w:val="-2"/>
        </w:rPr>
        <w:t xml:space="preserve"> </w:t>
      </w:r>
      <w:r>
        <w:rPr>
          <w:rFonts w:ascii="Times New Roman" w:eastAsia="Times New Roman" w:hAnsi="Times New Roman" w:cs="Times New Roman"/>
        </w:rPr>
        <w:t>the</w:t>
      </w:r>
      <w:r>
        <w:rPr>
          <w:rFonts w:ascii="Times New Roman" w:eastAsia="Times New Roman" w:hAnsi="Times New Roman" w:cs="Times New Roman"/>
          <w:spacing w:val="-3"/>
        </w:rPr>
        <w:t xml:space="preserve"> </w:t>
      </w:r>
      <w:r>
        <w:rPr>
          <w:rFonts w:ascii="Times New Roman" w:eastAsia="Times New Roman" w:hAnsi="Times New Roman" w:cs="Times New Roman"/>
        </w:rPr>
        <w:t>TC</w:t>
      </w:r>
      <w:r w:rsidR="00B23452">
        <w:rPr>
          <w:rFonts w:ascii="Times New Roman" w:eastAsia="Times New Roman" w:hAnsi="Times New Roman" w:cs="Times New Roman"/>
        </w:rPr>
        <w:t xml:space="preserve">, </w:t>
      </w:r>
      <w:r w:rsidR="002510BE" w:rsidRPr="002510BE">
        <w:rPr>
          <w:rFonts w:ascii="Times New Roman" w:eastAsia="Times New Roman" w:hAnsi="Times New Roman" w:cs="Times New Roman"/>
          <w:b/>
        </w:rPr>
        <w:t>4</w:t>
      </w:r>
      <w:r w:rsidR="00B23452">
        <w:rPr>
          <w:rFonts w:ascii="Times New Roman" w:eastAsia="Times New Roman" w:hAnsi="Times New Roman" w:cs="Times New Roman"/>
        </w:rPr>
        <w:t xml:space="preserve"> corresponding members and </w:t>
      </w:r>
      <w:r w:rsidR="002510BE" w:rsidRPr="002510BE">
        <w:rPr>
          <w:rFonts w:ascii="Times New Roman" w:eastAsia="Times New Roman" w:hAnsi="Times New Roman" w:cs="Times New Roman"/>
          <w:b/>
        </w:rPr>
        <w:t>8</w:t>
      </w:r>
      <w:r w:rsidR="00B23452">
        <w:rPr>
          <w:rFonts w:ascii="Times New Roman" w:eastAsia="Times New Roman" w:hAnsi="Times New Roman" w:cs="Times New Roman"/>
        </w:rPr>
        <w:t xml:space="preserve"> guests.</w:t>
      </w:r>
    </w:p>
    <w:p w:rsidR="00D732B9" w:rsidRDefault="00D732B9" w:rsidP="00B23452">
      <w:pPr>
        <w:spacing w:before="5" w:after="0" w:line="240" w:lineRule="exact"/>
        <w:ind w:hanging="432"/>
        <w:rPr>
          <w:sz w:val="24"/>
          <w:szCs w:val="24"/>
        </w:rPr>
      </w:pPr>
    </w:p>
    <w:p w:rsidR="002510BE" w:rsidRPr="002510BE" w:rsidRDefault="002510BE" w:rsidP="002510BE">
      <w:pPr>
        <w:widowControl/>
        <w:numPr>
          <w:ilvl w:val="0"/>
          <w:numId w:val="1"/>
        </w:numPr>
        <w:tabs>
          <w:tab w:val="clear" w:pos="2721"/>
          <w:tab w:val="num" w:pos="1080"/>
        </w:tabs>
        <w:spacing w:afterLines="20" w:after="48" w:line="240" w:lineRule="auto"/>
        <w:ind w:left="360" w:hanging="360"/>
        <w:rPr>
          <w:rFonts w:ascii="Times New Roman" w:eastAsia="Times New Roman" w:hAnsi="Times New Roman" w:cs="Times New Roman"/>
          <w:b/>
          <w:sz w:val="20"/>
          <w:szCs w:val="20"/>
        </w:rPr>
      </w:pPr>
      <w:r w:rsidRPr="002510BE">
        <w:rPr>
          <w:rFonts w:ascii="Times New Roman" w:eastAsia="Times New Roman" w:hAnsi="Times New Roman" w:cs="Times New Roman"/>
          <w:b/>
          <w:sz w:val="20"/>
          <w:szCs w:val="20"/>
        </w:rPr>
        <w:t>Introductions and Introductory Comments</w:t>
      </w:r>
    </w:p>
    <w:p w:rsidR="002510BE" w:rsidRPr="002510BE" w:rsidRDefault="002510BE" w:rsidP="002510BE">
      <w:pPr>
        <w:widowControl/>
        <w:numPr>
          <w:ilvl w:val="0"/>
          <w:numId w:val="1"/>
        </w:numPr>
        <w:tabs>
          <w:tab w:val="clear" w:pos="2721"/>
          <w:tab w:val="num" w:pos="1080"/>
        </w:tabs>
        <w:spacing w:afterLines="20" w:after="48" w:line="240" w:lineRule="auto"/>
        <w:ind w:left="360" w:hanging="360"/>
        <w:rPr>
          <w:rFonts w:ascii="Times New Roman" w:eastAsia="Times New Roman" w:hAnsi="Times New Roman" w:cs="Times New Roman"/>
          <w:b/>
          <w:sz w:val="20"/>
          <w:szCs w:val="20"/>
        </w:rPr>
      </w:pPr>
      <w:r w:rsidRPr="002510BE">
        <w:rPr>
          <w:rFonts w:ascii="Times New Roman" w:eastAsia="Times New Roman" w:hAnsi="Times New Roman" w:cs="Times New Roman"/>
          <w:b/>
          <w:sz w:val="20"/>
          <w:szCs w:val="20"/>
        </w:rPr>
        <w:t>Update On Standards and Guidelines Related to Energy Performance</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2510BE">
        <w:rPr>
          <w:rFonts w:ascii="Times New Roman" w:eastAsia="Times New Roman" w:hAnsi="Times New Roman" w:cs="Times New Roman"/>
          <w:sz w:val="20"/>
          <w:szCs w:val="20"/>
        </w:rPr>
        <w:t>ASHRAE Standard 100 Chair: Rick Hermans – new Chair: Gordon Holness being published and going into continuous maintenance.</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2510BE">
        <w:rPr>
          <w:rFonts w:ascii="Times New Roman" w:eastAsia="Times New Roman" w:hAnsi="Times New Roman" w:cs="Times New Roman"/>
          <w:sz w:val="20"/>
          <w:szCs w:val="20"/>
        </w:rPr>
        <w:t>Standard 105 Chair:  Keith Emerson – published.</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2510BE">
        <w:rPr>
          <w:rFonts w:ascii="Times New Roman" w:eastAsia="Times New Roman" w:hAnsi="Times New Roman" w:cs="Times New Roman"/>
          <w:sz w:val="20"/>
          <w:szCs w:val="20"/>
        </w:rPr>
        <w:t>Standard 211 Commercial Building Energy Audits  - new standard – being drafted</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2510BE">
        <w:rPr>
          <w:rFonts w:ascii="Times New Roman" w:eastAsia="Times New Roman" w:hAnsi="Times New Roman" w:cs="Times New Roman"/>
          <w:sz w:val="20"/>
          <w:szCs w:val="20"/>
        </w:rPr>
        <w:t xml:space="preserve">Standard 90.4 Energy </w:t>
      </w:r>
      <w:proofErr w:type="gramStart"/>
      <w:r w:rsidRPr="002510BE">
        <w:rPr>
          <w:rFonts w:ascii="Times New Roman" w:eastAsia="Times New Roman" w:hAnsi="Times New Roman" w:cs="Times New Roman"/>
          <w:sz w:val="20"/>
          <w:szCs w:val="20"/>
        </w:rPr>
        <w:t>Standard</w:t>
      </w:r>
      <w:proofErr w:type="gramEnd"/>
      <w:r w:rsidRPr="002510BE">
        <w:rPr>
          <w:rFonts w:ascii="Times New Roman" w:eastAsia="Times New Roman" w:hAnsi="Times New Roman" w:cs="Times New Roman"/>
          <w:sz w:val="20"/>
          <w:szCs w:val="20"/>
        </w:rPr>
        <w:t xml:space="preserve"> for Data Centers and Telecommunications Buildings.</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2510BE">
        <w:rPr>
          <w:rFonts w:ascii="Times New Roman" w:eastAsia="Times New Roman" w:hAnsi="Times New Roman" w:cs="Times New Roman"/>
          <w:sz w:val="20"/>
          <w:szCs w:val="20"/>
        </w:rPr>
        <w:t>ASHRAE Guideline 14 – reviews completed - being published</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2510BE">
        <w:rPr>
          <w:rFonts w:ascii="Times New Roman" w:eastAsia="Times New Roman" w:hAnsi="Times New Roman" w:cs="Times New Roman"/>
          <w:sz w:val="20"/>
          <w:szCs w:val="20"/>
        </w:rPr>
        <w:t>ASHRAE Energy Guideline for Historic Buildings</w:t>
      </w:r>
    </w:p>
    <w:p w:rsidR="002510BE" w:rsidRPr="002510BE" w:rsidRDefault="002510BE" w:rsidP="002510BE">
      <w:pPr>
        <w:widowControl/>
        <w:numPr>
          <w:ilvl w:val="0"/>
          <w:numId w:val="1"/>
        </w:numPr>
        <w:tabs>
          <w:tab w:val="clear" w:pos="2721"/>
          <w:tab w:val="num" w:pos="1080"/>
        </w:tabs>
        <w:spacing w:afterLines="20" w:after="48" w:line="240" w:lineRule="auto"/>
        <w:ind w:left="360" w:hanging="360"/>
        <w:rPr>
          <w:rFonts w:ascii="Times New Roman" w:eastAsia="Times New Roman" w:hAnsi="Times New Roman" w:cs="Times New Roman"/>
          <w:b/>
          <w:sz w:val="20"/>
          <w:szCs w:val="20"/>
        </w:rPr>
      </w:pPr>
      <w:r w:rsidRPr="002510BE">
        <w:rPr>
          <w:rFonts w:ascii="Times New Roman" w:eastAsia="Times New Roman" w:hAnsi="Times New Roman" w:cs="Times New Roman"/>
          <w:b/>
          <w:sz w:val="20"/>
          <w:szCs w:val="20"/>
        </w:rPr>
        <w:t>Building Rating Systems and Benchmarking</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proofErr w:type="spellStart"/>
      <w:r w:rsidRPr="002510BE">
        <w:rPr>
          <w:rFonts w:ascii="Times New Roman" w:eastAsia="Times New Roman" w:hAnsi="Times New Roman" w:cs="Times New Roman"/>
          <w:sz w:val="20"/>
          <w:szCs w:val="20"/>
        </w:rPr>
        <w:t>bEQ</w:t>
      </w:r>
      <w:proofErr w:type="spellEnd"/>
      <w:r w:rsidRPr="002510BE">
        <w:rPr>
          <w:rFonts w:ascii="Times New Roman" w:eastAsia="Times New Roman" w:hAnsi="Times New Roman" w:cs="Times New Roman"/>
          <w:sz w:val="20"/>
          <w:szCs w:val="20"/>
        </w:rPr>
        <w:t xml:space="preserve"> </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2510BE">
        <w:rPr>
          <w:rFonts w:ascii="Times New Roman" w:eastAsia="Times New Roman" w:hAnsi="Times New Roman" w:cs="Times New Roman"/>
          <w:sz w:val="20"/>
          <w:szCs w:val="20"/>
        </w:rPr>
        <w:t xml:space="preserve">Benchmarking updates </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2510BE">
        <w:rPr>
          <w:rFonts w:ascii="Times New Roman" w:eastAsia="Times New Roman" w:hAnsi="Times New Roman" w:cs="Times New Roman"/>
          <w:sz w:val="20"/>
          <w:szCs w:val="20"/>
        </w:rPr>
        <w:t xml:space="preserve">The IPEEC (Int’l Partnership for Energy Efficiency Cooperation) report looking at Building Energy Rating Schemes around the world has been finalized, and is available at </w:t>
      </w:r>
      <w:hyperlink r:id="rId6" w:history="1">
        <w:r w:rsidRPr="002510BE">
          <w:rPr>
            <w:rFonts w:ascii="Times New Roman" w:eastAsia="Times New Roman" w:hAnsi="Times New Roman" w:cs="Times New Roman"/>
            <w:color w:val="0000FF"/>
            <w:sz w:val="20"/>
            <w:szCs w:val="20"/>
            <w:u w:val="single"/>
          </w:rPr>
          <w:t>http://ipeec.org/BEET.html</w:t>
        </w:r>
      </w:hyperlink>
      <w:r w:rsidRPr="002510BE">
        <w:rPr>
          <w:rFonts w:ascii="Times New Roman" w:eastAsia="Times New Roman" w:hAnsi="Times New Roman" w:cs="Times New Roman"/>
          <w:sz w:val="20"/>
          <w:szCs w:val="20"/>
        </w:rPr>
        <w:t xml:space="preserve">  </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2510BE">
        <w:rPr>
          <w:rFonts w:ascii="Times New Roman" w:eastAsia="Times New Roman" w:hAnsi="Times New Roman" w:cs="Times New Roman"/>
          <w:sz w:val="20"/>
          <w:szCs w:val="20"/>
        </w:rPr>
        <w:t xml:space="preserve">The final report from the IEA’s EBC Annex 53 (“Total Energy Use in Buildings: Analysis &amp; Evaluation Methods”) is now available at </w:t>
      </w:r>
      <w:hyperlink r:id="rId7" w:history="1">
        <w:r w:rsidRPr="002510BE">
          <w:rPr>
            <w:rFonts w:ascii="Times New Roman" w:eastAsia="Times New Roman" w:hAnsi="Times New Roman" w:cs="Times New Roman"/>
            <w:color w:val="0000FF"/>
            <w:sz w:val="20"/>
            <w:szCs w:val="20"/>
            <w:u w:val="single"/>
          </w:rPr>
          <w:t>http://www.iea-ebc.org/projects/completed-projects/ebc-annex-53/</w:t>
        </w:r>
      </w:hyperlink>
      <w:r w:rsidRPr="002510BE">
        <w:rPr>
          <w:rFonts w:ascii="Times New Roman" w:eastAsia="Times New Roman" w:hAnsi="Times New Roman" w:cs="Times New Roman"/>
          <w:sz w:val="20"/>
          <w:szCs w:val="20"/>
        </w:rPr>
        <w:t xml:space="preserve">   Adam Hinge had been part of the project team</w:t>
      </w:r>
    </w:p>
    <w:p w:rsidR="002510BE" w:rsidRPr="002510BE" w:rsidRDefault="002510BE" w:rsidP="002510BE">
      <w:pPr>
        <w:widowControl/>
        <w:numPr>
          <w:ilvl w:val="0"/>
          <w:numId w:val="1"/>
        </w:numPr>
        <w:tabs>
          <w:tab w:val="clear" w:pos="2721"/>
          <w:tab w:val="num" w:pos="1080"/>
        </w:tabs>
        <w:spacing w:after="150" w:line="240" w:lineRule="auto"/>
        <w:ind w:left="360" w:hanging="360"/>
        <w:jc w:val="both"/>
        <w:rPr>
          <w:rFonts w:ascii="Times New Roman" w:eastAsia="Times New Roman" w:hAnsi="Times New Roman" w:cs="Times New Roman"/>
          <w:b/>
          <w:color w:val="000000"/>
          <w:sz w:val="20"/>
          <w:szCs w:val="20"/>
          <w:lang w:val="en"/>
        </w:rPr>
      </w:pPr>
      <w:r w:rsidRPr="002510BE">
        <w:rPr>
          <w:rFonts w:ascii="Times New Roman" w:eastAsia="Times New Roman" w:hAnsi="Times New Roman" w:cs="Times New Roman"/>
          <w:b/>
          <w:color w:val="000000"/>
          <w:sz w:val="20"/>
          <w:szCs w:val="20"/>
          <w:lang w:val="en"/>
        </w:rPr>
        <w:t>World Energy Initiatives</w:t>
      </w:r>
    </w:p>
    <w:p w:rsidR="002510BE" w:rsidRPr="002510BE" w:rsidRDefault="002510BE" w:rsidP="002510BE">
      <w:pPr>
        <w:widowControl/>
        <w:numPr>
          <w:ilvl w:val="1"/>
          <w:numId w:val="1"/>
        </w:numPr>
        <w:tabs>
          <w:tab w:val="clear" w:pos="3081"/>
          <w:tab w:val="num" w:pos="1440"/>
        </w:tabs>
        <w:spacing w:after="150" w:line="240" w:lineRule="auto"/>
        <w:ind w:left="1440"/>
        <w:jc w:val="both"/>
        <w:rPr>
          <w:rFonts w:ascii="Times New Roman" w:eastAsia="Times New Roman" w:hAnsi="Times New Roman" w:cs="Times New Roman"/>
          <w:color w:val="000000"/>
          <w:sz w:val="20"/>
          <w:szCs w:val="20"/>
          <w:lang w:val="en"/>
        </w:rPr>
      </w:pPr>
      <w:r w:rsidRPr="002510BE">
        <w:rPr>
          <w:rFonts w:ascii="Times New Roman" w:eastAsia="Times New Roman" w:hAnsi="Times New Roman" w:cs="Times New Roman"/>
          <w:color w:val="000000"/>
          <w:sz w:val="20"/>
          <w:szCs w:val="20"/>
          <w:lang w:val="en"/>
        </w:rPr>
        <w:t xml:space="preserve">The Buildings Performance Institute Europe (BPIE) released a report that addresses fuel poverty in the European Union. The report explains why considering fuel poverty is necessary in order to achieve sustainable and inclusive growth. The report defines funding solutions and examples that include Energy Efficiency benefits to fuel poverty and vulnerable consumers.   </w:t>
      </w:r>
      <w:hyperlink r:id="rId8" w:history="1">
        <w:r w:rsidRPr="002510BE">
          <w:rPr>
            <w:rFonts w:ascii="Times New Roman" w:eastAsia="Times New Roman" w:hAnsi="Times New Roman" w:cs="Times New Roman"/>
            <w:color w:val="0000FF"/>
            <w:sz w:val="20"/>
            <w:szCs w:val="20"/>
            <w:u w:val="single"/>
            <w:lang w:val="en"/>
          </w:rPr>
          <w:t xml:space="preserve">http://bit.ly/1lr68OB </w:t>
        </w:r>
      </w:hyperlink>
      <w:r w:rsidRPr="002510BE">
        <w:rPr>
          <w:rFonts w:ascii="Times New Roman" w:eastAsia="Times New Roman" w:hAnsi="Times New Roman" w:cs="Times New Roman"/>
          <w:color w:val="000000"/>
          <w:sz w:val="20"/>
          <w:szCs w:val="20"/>
          <w:lang w:val="en"/>
        </w:rPr>
        <w:t xml:space="preserve"> </w:t>
      </w:r>
    </w:p>
    <w:p w:rsidR="002510BE" w:rsidRPr="002510BE" w:rsidRDefault="002510BE" w:rsidP="002510BE">
      <w:pPr>
        <w:widowControl/>
        <w:numPr>
          <w:ilvl w:val="1"/>
          <w:numId w:val="1"/>
        </w:numPr>
        <w:tabs>
          <w:tab w:val="clear" w:pos="3081"/>
          <w:tab w:val="num" w:pos="1440"/>
        </w:tabs>
        <w:spacing w:after="150" w:line="240" w:lineRule="auto"/>
        <w:ind w:left="1440"/>
        <w:jc w:val="both"/>
        <w:rPr>
          <w:rFonts w:ascii="Times New Roman" w:eastAsia="Times New Roman" w:hAnsi="Times New Roman" w:cs="Times New Roman"/>
          <w:color w:val="000000"/>
          <w:sz w:val="20"/>
          <w:szCs w:val="20"/>
          <w:lang w:val="en"/>
        </w:rPr>
      </w:pPr>
      <w:r w:rsidRPr="002510BE">
        <w:rPr>
          <w:rFonts w:ascii="Times New Roman" w:eastAsia="Times New Roman" w:hAnsi="Times New Roman" w:cs="Times New Roman"/>
          <w:color w:val="000000"/>
          <w:sz w:val="20"/>
          <w:szCs w:val="20"/>
          <w:lang w:val="en"/>
        </w:rPr>
        <w:t xml:space="preserve">Japan: METI releases Japan’s Strategic Energy Plan - The Ministry of Economy, Trade and Industry released a strategic energy plan to assess challenges relating to energy demand. The report shows the public the basic direction of Japan’s energy policy under the Basic Act on Energy Policy. The plan focuses on minimizing dependence on nuclear power, safety, energy security, improving economic efficiency, and environment suitability. The plan indicates that the period until 2018 to 2020 will be for intensive reforming implementation. </w:t>
      </w:r>
      <w:hyperlink r:id="rId9" w:history="1">
        <w:r w:rsidRPr="002510BE">
          <w:rPr>
            <w:rFonts w:ascii="Times New Roman" w:eastAsia="Times New Roman" w:hAnsi="Times New Roman" w:cs="Times New Roman"/>
            <w:color w:val="0000FF"/>
            <w:sz w:val="20"/>
            <w:szCs w:val="20"/>
            <w:u w:val="single"/>
            <w:lang w:val="en"/>
          </w:rPr>
          <w:t>http://bit.ly/1pKANoK</w:t>
        </w:r>
      </w:hyperlink>
    </w:p>
    <w:p w:rsidR="002510BE" w:rsidRPr="002510BE" w:rsidRDefault="002510BE" w:rsidP="002510BE">
      <w:pPr>
        <w:widowControl/>
        <w:numPr>
          <w:ilvl w:val="1"/>
          <w:numId w:val="1"/>
        </w:numPr>
        <w:tabs>
          <w:tab w:val="clear" w:pos="3081"/>
          <w:tab w:val="num" w:pos="1440"/>
        </w:tabs>
        <w:spacing w:after="150" w:line="240" w:lineRule="auto"/>
        <w:ind w:left="1440"/>
        <w:jc w:val="both"/>
        <w:rPr>
          <w:rFonts w:ascii="Times New Roman" w:eastAsia="Times New Roman" w:hAnsi="Times New Roman" w:cs="Times New Roman"/>
          <w:color w:val="000000"/>
          <w:sz w:val="20"/>
          <w:szCs w:val="20"/>
          <w:lang w:val="en"/>
        </w:rPr>
      </w:pPr>
      <w:r w:rsidRPr="002510BE">
        <w:rPr>
          <w:rFonts w:ascii="Times New Roman" w:eastAsia="Times New Roman" w:hAnsi="Times New Roman" w:cs="Times New Roman"/>
          <w:color w:val="000000"/>
          <w:sz w:val="20"/>
          <w:szCs w:val="20"/>
          <w:lang w:val="en"/>
        </w:rPr>
        <w:t xml:space="preserve">India: India plans to implement a code for energy savings through green buildings by 2017. It will be mandatory for all state governments to implement the minimum requirements for energy efficient design and construction. To do this, the Bureau for Energy Efficiency (BEE) will implement the Energy Conservation Building Code (ECBC), to cross-check for building designs and specifications. </w:t>
      </w:r>
      <w:hyperlink r:id="rId10" w:history="1">
        <w:r w:rsidRPr="002510BE">
          <w:rPr>
            <w:rFonts w:ascii="Times New Roman" w:eastAsia="Times New Roman" w:hAnsi="Times New Roman" w:cs="Times New Roman"/>
            <w:color w:val="0000FF"/>
            <w:sz w:val="20"/>
            <w:szCs w:val="20"/>
            <w:u w:val="single"/>
            <w:lang w:val="en"/>
          </w:rPr>
          <w:t>http://bit.ly/1xOo89P</w:t>
        </w:r>
      </w:hyperlink>
      <w:r w:rsidRPr="002510BE">
        <w:rPr>
          <w:rFonts w:ascii="Times New Roman" w:eastAsia="Times New Roman" w:hAnsi="Times New Roman" w:cs="Times New Roman"/>
          <w:color w:val="000000"/>
          <w:sz w:val="20"/>
          <w:szCs w:val="20"/>
          <w:lang w:val="en"/>
        </w:rPr>
        <w:t xml:space="preserve">  </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color w:val="000000"/>
          <w:sz w:val="20"/>
          <w:szCs w:val="20"/>
        </w:rPr>
      </w:pPr>
      <w:r w:rsidRPr="002510BE">
        <w:rPr>
          <w:rFonts w:ascii="Times New Roman" w:eastAsia="Times New Roman" w:hAnsi="Times New Roman" w:cs="Times New Roman"/>
          <w:color w:val="000000"/>
          <w:sz w:val="20"/>
          <w:szCs w:val="20"/>
        </w:rPr>
        <w:t>Energy Efficiency Trends in the EU – Germany has set a target of 100% green electric energy generation by 2030.</w:t>
      </w:r>
    </w:p>
    <w:p w:rsidR="002510BE" w:rsidRPr="002510BE" w:rsidRDefault="002510BE" w:rsidP="002510BE">
      <w:pPr>
        <w:widowControl/>
        <w:numPr>
          <w:ilvl w:val="1"/>
          <w:numId w:val="1"/>
        </w:numPr>
        <w:tabs>
          <w:tab w:val="clear" w:pos="3081"/>
          <w:tab w:val="num" w:pos="1440"/>
        </w:tabs>
        <w:spacing w:after="150" w:line="240" w:lineRule="auto"/>
        <w:ind w:left="1440"/>
        <w:jc w:val="both"/>
        <w:rPr>
          <w:rFonts w:ascii="Times New Roman" w:eastAsia="Times New Roman" w:hAnsi="Times New Roman" w:cs="Times New Roman"/>
          <w:color w:val="000000"/>
          <w:sz w:val="20"/>
          <w:szCs w:val="20"/>
          <w:lang w:val="en"/>
        </w:rPr>
      </w:pPr>
      <w:r w:rsidRPr="002510BE">
        <w:rPr>
          <w:rFonts w:ascii="Times New Roman" w:eastAsia="Times New Roman" w:hAnsi="Times New Roman" w:cs="Times New Roman"/>
          <w:color w:val="000000"/>
          <w:sz w:val="20"/>
          <w:szCs w:val="20"/>
          <w:lang w:val="en"/>
        </w:rPr>
        <w:t xml:space="preserve">The New York State Public Service Commission released Reforming the Energy Vision (REV). It is envisioned that a Distributed System Platform Provider (utility?) integrate Distributed Energy Resources (DER) as the primary means of meeting system needs.  Where DER consists of Energy Efficiency, Demand Response and Distributed Generation. </w:t>
      </w:r>
    </w:p>
    <w:p w:rsidR="002510BE" w:rsidRPr="002510BE" w:rsidRDefault="002510BE" w:rsidP="002510BE">
      <w:pPr>
        <w:widowControl/>
        <w:spacing w:after="150" w:line="240" w:lineRule="auto"/>
        <w:ind w:left="1440"/>
        <w:jc w:val="both"/>
        <w:rPr>
          <w:rFonts w:ascii="Times New Roman" w:eastAsia="Times New Roman" w:hAnsi="Times New Roman" w:cs="Times New Roman"/>
          <w:color w:val="000000"/>
          <w:sz w:val="20"/>
          <w:szCs w:val="20"/>
          <w:lang w:val="en"/>
        </w:rPr>
      </w:pPr>
      <w:hyperlink r:id="rId11" w:history="1">
        <w:r w:rsidRPr="002510BE">
          <w:rPr>
            <w:rFonts w:ascii="Times New Roman" w:eastAsia="Times New Roman" w:hAnsi="Times New Roman" w:cs="Times New Roman"/>
            <w:color w:val="0000FF"/>
            <w:sz w:val="20"/>
            <w:szCs w:val="20"/>
            <w:u w:val="single"/>
            <w:lang w:val="en"/>
          </w:rPr>
          <w:t>http://www3.dps.ny.gov/W/PSCWeb.nsf/All/26BE8A93967E604785257CC40066B91A?OpenDocument</w:t>
        </w:r>
      </w:hyperlink>
      <w:r w:rsidRPr="002510BE">
        <w:rPr>
          <w:rFonts w:ascii="Times New Roman" w:eastAsia="Times New Roman" w:hAnsi="Times New Roman" w:cs="Times New Roman"/>
          <w:color w:val="000000"/>
          <w:sz w:val="20"/>
          <w:szCs w:val="20"/>
          <w:lang w:val="en"/>
        </w:rPr>
        <w:t xml:space="preserve"> </w:t>
      </w:r>
    </w:p>
    <w:p w:rsidR="002510BE" w:rsidRPr="002510BE" w:rsidRDefault="002510BE" w:rsidP="002510BE">
      <w:pPr>
        <w:widowControl/>
        <w:numPr>
          <w:ilvl w:val="1"/>
          <w:numId w:val="1"/>
        </w:numPr>
        <w:tabs>
          <w:tab w:val="clear" w:pos="3081"/>
          <w:tab w:val="num" w:pos="1440"/>
        </w:tabs>
        <w:spacing w:after="150" w:line="240" w:lineRule="auto"/>
        <w:ind w:left="1440"/>
        <w:rPr>
          <w:rFonts w:ascii="Times New Roman" w:eastAsia="Times New Roman" w:hAnsi="Times New Roman" w:cs="Times New Roman"/>
          <w:color w:val="000000"/>
          <w:sz w:val="20"/>
          <w:szCs w:val="20"/>
          <w:lang w:val="en"/>
        </w:rPr>
      </w:pPr>
      <w:r w:rsidRPr="002510BE">
        <w:rPr>
          <w:rFonts w:ascii="Times New Roman" w:eastAsia="Times New Roman" w:hAnsi="Times New Roman" w:cs="Times New Roman"/>
          <w:color w:val="000000"/>
          <w:sz w:val="20"/>
          <w:szCs w:val="20"/>
          <w:lang w:val="en"/>
        </w:rPr>
        <w:t xml:space="preserve">Vermont Thermal Efficiency Task Force </w:t>
      </w:r>
      <w:hyperlink r:id="rId12" w:history="1">
        <w:r w:rsidRPr="002510BE">
          <w:rPr>
            <w:rFonts w:ascii="Times New Roman" w:eastAsia="Times New Roman" w:hAnsi="Times New Roman" w:cs="Times New Roman"/>
            <w:color w:val="0000FF"/>
            <w:sz w:val="20"/>
            <w:szCs w:val="20"/>
            <w:u w:val="single"/>
            <w:lang w:val="en"/>
          </w:rPr>
          <w:t>http://www.leg.state.vt.us/reports/2013ExternalReports/285749.pdf</w:t>
        </w:r>
      </w:hyperlink>
      <w:r w:rsidRPr="002510BE">
        <w:rPr>
          <w:rFonts w:ascii="Times New Roman" w:eastAsia="Times New Roman" w:hAnsi="Times New Roman" w:cs="Times New Roman"/>
          <w:color w:val="000000"/>
          <w:sz w:val="20"/>
          <w:szCs w:val="20"/>
          <w:lang w:val="en"/>
        </w:rPr>
        <w:t xml:space="preserve"> </w:t>
      </w:r>
    </w:p>
    <w:p w:rsidR="002510BE" w:rsidRPr="002510BE" w:rsidRDefault="002510BE" w:rsidP="002510BE">
      <w:pPr>
        <w:widowControl/>
        <w:numPr>
          <w:ilvl w:val="1"/>
          <w:numId w:val="1"/>
        </w:numPr>
        <w:tabs>
          <w:tab w:val="clear" w:pos="3081"/>
        </w:tabs>
        <w:spacing w:after="0" w:line="240" w:lineRule="auto"/>
        <w:ind w:left="1440"/>
        <w:rPr>
          <w:rFonts w:ascii="Times New Roman" w:eastAsia="Times New Roman" w:hAnsi="Times New Roman" w:cs="Times New Roman"/>
          <w:sz w:val="20"/>
          <w:szCs w:val="20"/>
        </w:rPr>
      </w:pPr>
      <w:r w:rsidRPr="002510BE">
        <w:rPr>
          <w:rFonts w:ascii="Times New Roman" w:eastAsia="Times New Roman" w:hAnsi="Times New Roman" w:cs="Times New Roman"/>
          <w:sz w:val="20"/>
          <w:szCs w:val="20"/>
        </w:rPr>
        <w:t xml:space="preserve">With the release today of the </w:t>
      </w:r>
      <w:hyperlink r:id="rId13" w:history="1">
        <w:r w:rsidRPr="002510BE">
          <w:rPr>
            <w:rFonts w:ascii="Times New Roman" w:eastAsia="Times New Roman" w:hAnsi="Times New Roman" w:cs="Times New Roman"/>
            <w:b/>
            <w:bCs/>
            <w:i/>
            <w:iCs/>
            <w:color w:val="0070C0"/>
            <w:sz w:val="20"/>
            <w:szCs w:val="20"/>
            <w:u w:val="single"/>
          </w:rPr>
          <w:t>Standardization Roadmap: Energy Efficiency in the Built Environment</w:t>
        </w:r>
      </w:hyperlink>
      <w:r w:rsidRPr="002510BE">
        <w:rPr>
          <w:rFonts w:ascii="Times New Roman" w:eastAsia="Times New Roman" w:hAnsi="Times New Roman" w:cs="Times New Roman"/>
          <w:sz w:val="20"/>
          <w:szCs w:val="20"/>
        </w:rPr>
        <w:t xml:space="preserve">, U.S. industry, government, standards developing organizations (SDOs) and other energy efficiency stakeholders now have a national framework for action and coordination on future energy efficiency standardization. Developed by the </w:t>
      </w:r>
      <w:hyperlink r:id="rId14" w:history="1">
        <w:r w:rsidRPr="002510BE">
          <w:rPr>
            <w:rFonts w:ascii="Times New Roman" w:eastAsia="Times New Roman" w:hAnsi="Times New Roman" w:cs="Times New Roman"/>
            <w:color w:val="0070C0"/>
            <w:sz w:val="20"/>
            <w:szCs w:val="20"/>
            <w:u w:val="single"/>
          </w:rPr>
          <w:t>American National Standards Institute</w:t>
        </w:r>
      </w:hyperlink>
      <w:r w:rsidRPr="002510BE">
        <w:rPr>
          <w:rFonts w:ascii="Times New Roman" w:eastAsia="Times New Roman" w:hAnsi="Times New Roman" w:cs="Times New Roman"/>
          <w:sz w:val="20"/>
          <w:szCs w:val="20"/>
        </w:rPr>
        <w:t xml:space="preserve"> (ANSI) </w:t>
      </w:r>
      <w:hyperlink r:id="rId15" w:tgtFrame="_blank" w:history="1">
        <w:r w:rsidRPr="002510BE">
          <w:rPr>
            <w:rFonts w:ascii="Times New Roman" w:eastAsia="Times New Roman" w:hAnsi="Times New Roman" w:cs="Times New Roman"/>
            <w:color w:val="0070C0"/>
            <w:sz w:val="20"/>
            <w:szCs w:val="20"/>
            <w:u w:val="single"/>
          </w:rPr>
          <w:t>Energy Efficiency Standardization Coordination Collaborative</w:t>
        </w:r>
      </w:hyperlink>
      <w:r w:rsidRPr="002510BE">
        <w:rPr>
          <w:rFonts w:ascii="Times New Roman" w:eastAsia="Times New Roman" w:hAnsi="Times New Roman" w:cs="Times New Roman"/>
          <w:sz w:val="20"/>
          <w:szCs w:val="20"/>
        </w:rPr>
        <w:t xml:space="preserve"> (EESCC) – a cross-sector </w:t>
      </w:r>
      <w:r w:rsidRPr="002510BE">
        <w:rPr>
          <w:rFonts w:ascii="Times New Roman" w:eastAsia="Times New Roman" w:hAnsi="Times New Roman" w:cs="Times New Roman"/>
          <w:sz w:val="20"/>
          <w:szCs w:val="20"/>
        </w:rPr>
        <w:lastRenderedPageBreak/>
        <w:t xml:space="preserve">group chaired by the USDOE and Schneider Electric –charts </w:t>
      </w:r>
      <w:r w:rsidRPr="002510BE">
        <w:rPr>
          <w:rFonts w:ascii="Times New Roman" w:eastAsia="Times New Roman" w:hAnsi="Times New Roman" w:cs="Times New Roman"/>
          <w:bCs/>
          <w:sz w:val="20"/>
          <w:szCs w:val="20"/>
        </w:rPr>
        <w:t>125 actionable recommendations</w:t>
      </w:r>
      <w:r w:rsidRPr="002510BE">
        <w:rPr>
          <w:rFonts w:ascii="Times New Roman" w:eastAsia="Times New Roman" w:hAnsi="Times New Roman" w:cs="Times New Roman"/>
          <w:sz w:val="20"/>
          <w:szCs w:val="20"/>
        </w:rPr>
        <w:t xml:space="preserve"> to advance energy efficiency in the built environment. </w:t>
      </w:r>
      <w:hyperlink r:id="rId16" w:history="1">
        <w:r w:rsidRPr="002510BE">
          <w:rPr>
            <w:rFonts w:ascii="Times New Roman" w:eastAsia="Times New Roman" w:hAnsi="Times New Roman" w:cs="Times New Roman"/>
            <w:b/>
            <w:bCs/>
            <w:color w:val="0069B3"/>
            <w:sz w:val="20"/>
            <w:szCs w:val="20"/>
            <w:u w:val="single"/>
          </w:rPr>
          <w:t>www.ansi.org/eescc</w:t>
        </w:r>
      </w:hyperlink>
      <w:r w:rsidRPr="002510BE">
        <w:rPr>
          <w:rFonts w:ascii="Times New Roman" w:eastAsia="Times New Roman" w:hAnsi="Times New Roman" w:cs="Times New Roman"/>
          <w:sz w:val="20"/>
          <w:szCs w:val="20"/>
        </w:rPr>
        <w:t xml:space="preserve">. </w:t>
      </w:r>
    </w:p>
    <w:p w:rsidR="002510BE" w:rsidRPr="002510BE" w:rsidRDefault="002510BE" w:rsidP="002510BE">
      <w:pPr>
        <w:widowControl/>
        <w:numPr>
          <w:ilvl w:val="1"/>
          <w:numId w:val="1"/>
        </w:numPr>
        <w:tabs>
          <w:tab w:val="clear" w:pos="3081"/>
        </w:tabs>
        <w:spacing w:afterLines="20" w:after="48" w:line="240" w:lineRule="auto"/>
        <w:ind w:left="1440"/>
        <w:jc w:val="both"/>
        <w:rPr>
          <w:rFonts w:ascii="Times New Roman" w:eastAsia="Times New Roman" w:hAnsi="Times New Roman" w:cs="Times New Roman"/>
          <w:color w:val="000000"/>
          <w:sz w:val="20"/>
          <w:szCs w:val="20"/>
        </w:rPr>
      </w:pPr>
      <w:r w:rsidRPr="002510BE">
        <w:rPr>
          <w:rFonts w:ascii="Times New Roman" w:eastAsia="Times New Roman" w:hAnsi="Times New Roman" w:cs="Times New Roman"/>
          <w:color w:val="000000"/>
          <w:sz w:val="20"/>
          <w:szCs w:val="20"/>
          <w:lang w:val="en"/>
        </w:rPr>
        <w:t xml:space="preserve">Meanwhile, nationally - United States: Energy Savings and Industrial Competitiveness Act fails in Senate. The bill would have increase Energy Efficiency in residential, commercial, and federally owned buildings and trained workers to be skilled at working in energy efficient commercial buildings. </w:t>
      </w:r>
      <w:hyperlink r:id="rId17" w:history="1">
        <w:r w:rsidRPr="002510BE">
          <w:rPr>
            <w:rFonts w:ascii="Times New Roman" w:eastAsia="Times New Roman" w:hAnsi="Times New Roman" w:cs="Times New Roman"/>
            <w:color w:val="0000FF"/>
            <w:sz w:val="20"/>
            <w:szCs w:val="20"/>
            <w:u w:val="single"/>
            <w:lang w:val="en"/>
          </w:rPr>
          <w:t>http://bit.ly/RNA3Uv</w:t>
        </w:r>
      </w:hyperlink>
      <w:r w:rsidRPr="002510BE">
        <w:rPr>
          <w:rFonts w:ascii="Times New Roman" w:eastAsia="Times New Roman" w:hAnsi="Times New Roman" w:cs="Times New Roman"/>
          <w:color w:val="000000"/>
          <w:sz w:val="20"/>
          <w:szCs w:val="20"/>
          <w:lang w:val="en"/>
        </w:rPr>
        <w:t xml:space="preserve"> </w:t>
      </w:r>
      <w:r w:rsidRPr="002510BE">
        <w:rPr>
          <w:rFonts w:ascii="Times New Roman" w:eastAsia="Times New Roman" w:hAnsi="Times New Roman" w:cs="Times New Roman"/>
          <w:color w:val="000000"/>
          <w:sz w:val="20"/>
          <w:szCs w:val="20"/>
        </w:rPr>
        <w:t xml:space="preserve">   </w:t>
      </w:r>
    </w:p>
    <w:p w:rsidR="002510BE" w:rsidRPr="002510BE" w:rsidRDefault="002510BE" w:rsidP="002510BE">
      <w:pPr>
        <w:widowControl/>
        <w:numPr>
          <w:ilvl w:val="1"/>
          <w:numId w:val="1"/>
        </w:numPr>
        <w:tabs>
          <w:tab w:val="clear" w:pos="3081"/>
        </w:tabs>
        <w:spacing w:afterLines="20" w:after="48" w:line="240" w:lineRule="auto"/>
        <w:ind w:left="1440"/>
        <w:jc w:val="both"/>
        <w:rPr>
          <w:rFonts w:ascii="Times New Roman" w:eastAsia="Times New Roman" w:hAnsi="Times New Roman" w:cs="Times New Roman"/>
          <w:color w:val="000000"/>
          <w:sz w:val="20"/>
          <w:szCs w:val="20"/>
        </w:rPr>
      </w:pPr>
      <w:r w:rsidRPr="002510BE">
        <w:rPr>
          <w:rFonts w:ascii="Times New Roman" w:eastAsia="Times New Roman" w:hAnsi="Times New Roman" w:cs="Times New Roman"/>
          <w:iCs/>
          <w:sz w:val="20"/>
          <w:szCs w:val="20"/>
        </w:rPr>
        <w:t xml:space="preserve">Building energy rating schemes. </w:t>
      </w:r>
      <w:hyperlink r:id="rId18" w:history="1">
        <w:r w:rsidRPr="002510BE">
          <w:rPr>
            <w:rFonts w:ascii="Times New Roman" w:eastAsia="Times New Roman" w:hAnsi="Times New Roman" w:cs="Times New Roman"/>
            <w:color w:val="0000FF"/>
            <w:sz w:val="20"/>
            <w:szCs w:val="20"/>
            <w:u w:val="single"/>
          </w:rPr>
          <w:t>www.buildingrating.org/ipeec</w:t>
        </w:r>
      </w:hyperlink>
      <w:r w:rsidRPr="002510BE">
        <w:rPr>
          <w:rFonts w:ascii="Times New Roman" w:eastAsia="Times New Roman" w:hAnsi="Times New Roman" w:cs="Times New Roman"/>
          <w:color w:val="1F497D"/>
          <w:sz w:val="20"/>
          <w:szCs w:val="20"/>
        </w:rPr>
        <w:t xml:space="preserve">  </w:t>
      </w:r>
    </w:p>
    <w:p w:rsidR="002510BE" w:rsidRPr="002510BE" w:rsidRDefault="002510BE" w:rsidP="002510BE">
      <w:pPr>
        <w:widowControl/>
        <w:spacing w:afterLines="20" w:after="48" w:line="240" w:lineRule="auto"/>
        <w:rPr>
          <w:rFonts w:ascii="Times New Roman" w:eastAsia="Times New Roman" w:hAnsi="Times New Roman" w:cs="Times New Roman"/>
          <w:color w:val="000000"/>
          <w:sz w:val="20"/>
          <w:szCs w:val="20"/>
        </w:rPr>
      </w:pPr>
    </w:p>
    <w:p w:rsidR="002510BE" w:rsidRPr="002510BE" w:rsidRDefault="002510BE" w:rsidP="002510BE">
      <w:pPr>
        <w:widowControl/>
        <w:numPr>
          <w:ilvl w:val="0"/>
          <w:numId w:val="1"/>
        </w:numPr>
        <w:tabs>
          <w:tab w:val="clear" w:pos="2721"/>
          <w:tab w:val="num" w:pos="1080"/>
        </w:tabs>
        <w:spacing w:afterLines="20" w:after="48" w:line="240" w:lineRule="auto"/>
        <w:ind w:left="360" w:hanging="360"/>
        <w:rPr>
          <w:rFonts w:ascii="Times New Roman" w:eastAsia="Times New Roman" w:hAnsi="Times New Roman" w:cs="Times New Roman"/>
          <w:b/>
          <w:sz w:val="20"/>
          <w:szCs w:val="20"/>
        </w:rPr>
      </w:pPr>
      <w:r w:rsidRPr="002510BE">
        <w:rPr>
          <w:rFonts w:ascii="Times New Roman" w:eastAsia="Times New Roman" w:hAnsi="Times New Roman" w:cs="Times New Roman"/>
          <w:b/>
          <w:sz w:val="20"/>
          <w:szCs w:val="20"/>
        </w:rPr>
        <w:t>Energy Monitoring and Energy Audits</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2510BE">
        <w:rPr>
          <w:rFonts w:ascii="Times New Roman" w:eastAsia="Times New Roman" w:hAnsi="Times New Roman" w:cs="Times New Roman"/>
          <w:sz w:val="20"/>
          <w:szCs w:val="20"/>
        </w:rPr>
        <w:t xml:space="preserve">Lawrence Berkeley National Laboratory, </w:t>
      </w:r>
      <w:proofErr w:type="spellStart"/>
      <w:r w:rsidRPr="002510BE">
        <w:rPr>
          <w:rFonts w:ascii="Times New Roman" w:eastAsia="Times New Roman" w:hAnsi="Times New Roman" w:cs="Times New Roman"/>
          <w:sz w:val="20"/>
          <w:szCs w:val="20"/>
        </w:rPr>
        <w:t>QuEST</w:t>
      </w:r>
      <w:proofErr w:type="spellEnd"/>
      <w:r w:rsidRPr="002510BE">
        <w:rPr>
          <w:rFonts w:ascii="Times New Roman" w:eastAsia="Times New Roman" w:hAnsi="Times New Roman" w:cs="Times New Roman"/>
          <w:sz w:val="20"/>
          <w:szCs w:val="20"/>
        </w:rPr>
        <w:t>, and the DOE’s Building Technologies Office are developing testing procedures that can be applied by energy efficiency project and program administrators to assess the performance of automated M&amp;V methods.</w:t>
      </w:r>
    </w:p>
    <w:p w:rsidR="002510BE" w:rsidRPr="002510BE" w:rsidRDefault="002510BE" w:rsidP="002510BE">
      <w:pPr>
        <w:widowControl/>
        <w:numPr>
          <w:ilvl w:val="0"/>
          <w:numId w:val="1"/>
        </w:numPr>
        <w:tabs>
          <w:tab w:val="clear" w:pos="2721"/>
          <w:tab w:val="num" w:pos="1080"/>
        </w:tabs>
        <w:spacing w:afterLines="20" w:after="48" w:line="240" w:lineRule="auto"/>
        <w:ind w:left="360" w:hanging="360"/>
        <w:rPr>
          <w:rFonts w:ascii="Times New Roman" w:eastAsia="Times New Roman" w:hAnsi="Times New Roman" w:cs="Times New Roman"/>
          <w:b/>
          <w:sz w:val="20"/>
          <w:szCs w:val="20"/>
        </w:rPr>
      </w:pPr>
      <w:r w:rsidRPr="002510BE">
        <w:rPr>
          <w:rFonts w:ascii="Times New Roman" w:eastAsia="Times New Roman" w:hAnsi="Times New Roman" w:cs="Times New Roman"/>
          <w:b/>
          <w:sz w:val="20"/>
          <w:szCs w:val="20"/>
        </w:rPr>
        <w:t>Energy Performance Databases</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color w:val="000000"/>
          <w:sz w:val="24"/>
          <w:szCs w:val="24"/>
        </w:rPr>
      </w:pPr>
      <w:r w:rsidRPr="002510BE">
        <w:rPr>
          <w:rFonts w:ascii="Times New Roman" w:eastAsia="Times New Roman" w:hAnsi="Times New Roman" w:cs="Times New Roman"/>
          <w:sz w:val="20"/>
          <w:szCs w:val="20"/>
        </w:rPr>
        <w:t xml:space="preserve">DASH – Bruce </w:t>
      </w:r>
      <w:proofErr w:type="spellStart"/>
      <w:r w:rsidRPr="002510BE">
        <w:rPr>
          <w:rFonts w:ascii="Times New Roman" w:eastAsia="Times New Roman" w:hAnsi="Times New Roman" w:cs="Times New Roman"/>
          <w:sz w:val="20"/>
          <w:szCs w:val="20"/>
        </w:rPr>
        <w:t>Hunn</w:t>
      </w:r>
      <w:proofErr w:type="spellEnd"/>
      <w:r w:rsidRPr="002510BE">
        <w:rPr>
          <w:rFonts w:ascii="Times New Roman" w:eastAsia="Times New Roman" w:hAnsi="Times New Roman" w:cs="Times New Roman"/>
          <w:sz w:val="20"/>
          <w:szCs w:val="20"/>
        </w:rPr>
        <w:t xml:space="preserve"> </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2510BE">
        <w:rPr>
          <w:rFonts w:ascii="Times New Roman" w:eastAsia="Times New Roman" w:hAnsi="Times New Roman" w:cs="Times New Roman"/>
          <w:sz w:val="20"/>
          <w:szCs w:val="20"/>
        </w:rPr>
        <w:t xml:space="preserve">Standard Energy Efficiency Data Platform (SEED) – DOE The (SEED) platform is a software tool that provides a standardized format for collecting, storing and analyzing building energy performance information about large portfolios. </w:t>
      </w:r>
      <w:hyperlink r:id="rId19" w:history="1">
        <w:r w:rsidRPr="002510BE">
          <w:rPr>
            <w:rFonts w:ascii="Times New Roman" w:eastAsia="Times New Roman" w:hAnsi="Times New Roman" w:cs="Times New Roman"/>
            <w:color w:val="0000FF"/>
            <w:sz w:val="20"/>
            <w:szCs w:val="20"/>
            <w:u w:val="single"/>
          </w:rPr>
          <w:t>http://www1.eere.energy.gov/buildings/commercial/seed_platform.html</w:t>
        </w:r>
      </w:hyperlink>
      <w:r w:rsidRPr="002510BE">
        <w:rPr>
          <w:rFonts w:ascii="Times New Roman" w:eastAsia="Times New Roman" w:hAnsi="Times New Roman" w:cs="Times New Roman"/>
          <w:sz w:val="20"/>
          <w:szCs w:val="20"/>
        </w:rPr>
        <w:t xml:space="preserve"> </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2510BE">
        <w:rPr>
          <w:rFonts w:ascii="Times New Roman" w:eastAsia="Times New Roman" w:hAnsi="Times New Roman" w:cs="Times New Roman"/>
          <w:sz w:val="20"/>
          <w:szCs w:val="20"/>
        </w:rPr>
        <w:t xml:space="preserve">Energy IQ – LBNL </w:t>
      </w:r>
      <w:proofErr w:type="spellStart"/>
      <w:r w:rsidRPr="002510BE">
        <w:rPr>
          <w:rFonts w:ascii="Times New Roman" w:eastAsia="Times New Roman" w:hAnsi="Times New Roman" w:cs="Times New Roman"/>
          <w:sz w:val="20"/>
          <w:szCs w:val="20"/>
        </w:rPr>
        <w:t>EnergyIQ</w:t>
      </w:r>
      <w:proofErr w:type="spellEnd"/>
      <w:r w:rsidRPr="002510BE">
        <w:rPr>
          <w:rFonts w:ascii="Times New Roman" w:eastAsia="Times New Roman" w:hAnsi="Times New Roman" w:cs="Times New Roman"/>
          <w:sz w:val="20"/>
          <w:szCs w:val="20"/>
        </w:rPr>
        <w:t xml:space="preserve"> is an action-oriented benchmarking tool for non-residential buildings. It can be used to identify energy efficiency opportunities, save money and reduce carbon emissions. </w:t>
      </w:r>
      <w:hyperlink r:id="rId20" w:history="1">
        <w:r w:rsidRPr="002510BE">
          <w:rPr>
            <w:rFonts w:ascii="Times New Roman" w:eastAsia="Times New Roman" w:hAnsi="Times New Roman" w:cs="Times New Roman"/>
            <w:color w:val="0000FF"/>
            <w:sz w:val="20"/>
            <w:szCs w:val="20"/>
            <w:u w:val="single"/>
          </w:rPr>
          <w:t>http://energyiq.lbl.gov/</w:t>
        </w:r>
      </w:hyperlink>
      <w:r w:rsidRPr="002510BE">
        <w:rPr>
          <w:rFonts w:ascii="Times New Roman" w:eastAsia="Times New Roman" w:hAnsi="Times New Roman" w:cs="Times New Roman"/>
          <w:sz w:val="20"/>
          <w:szCs w:val="20"/>
        </w:rPr>
        <w:t xml:space="preserve"> </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2510BE">
        <w:rPr>
          <w:rFonts w:ascii="Times New Roman" w:eastAsia="Times New Roman" w:hAnsi="Times New Roman" w:cs="Times New Roman"/>
          <w:sz w:val="20"/>
          <w:szCs w:val="20"/>
        </w:rPr>
        <w:t xml:space="preserve">Building Performance Database (BPD) – DOE The Buildings Performance Database (BPD) enables users to perform statistical analysis on an anonymous dataset of tens of thousands of commercial and residential buildings from across the country. </w:t>
      </w:r>
      <w:hyperlink r:id="rId21" w:history="1">
        <w:r w:rsidRPr="002510BE">
          <w:rPr>
            <w:rFonts w:ascii="Times New Roman" w:eastAsia="Times New Roman" w:hAnsi="Times New Roman" w:cs="Times New Roman"/>
            <w:color w:val="0000FF"/>
            <w:sz w:val="20"/>
            <w:szCs w:val="20"/>
            <w:u w:val="single"/>
          </w:rPr>
          <w:t>http://www1.eere.energy.gov/buildings/commercial/bpd.html?utm_source=BPD+redirect&amp;utm_medium=redirect&amp;utm_campaign=BPD+redirect</w:t>
        </w:r>
      </w:hyperlink>
      <w:r w:rsidRPr="002510BE">
        <w:rPr>
          <w:rFonts w:ascii="Times New Roman" w:eastAsia="Times New Roman" w:hAnsi="Times New Roman" w:cs="Times New Roman"/>
          <w:sz w:val="20"/>
          <w:szCs w:val="20"/>
        </w:rPr>
        <w:t xml:space="preserve"> </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color w:val="000000"/>
          <w:sz w:val="20"/>
          <w:szCs w:val="20"/>
        </w:rPr>
      </w:pPr>
      <w:r w:rsidRPr="002510BE">
        <w:rPr>
          <w:rFonts w:ascii="Times New Roman" w:eastAsia="Times New Roman" w:hAnsi="Times New Roman" w:cs="Times New Roman"/>
          <w:color w:val="000000"/>
          <w:sz w:val="20"/>
          <w:szCs w:val="20"/>
        </w:rPr>
        <w:t xml:space="preserve">In Europe, the BPIE "Data Hub for the Energy Performance </w:t>
      </w:r>
      <w:proofErr w:type="gramStart"/>
      <w:r w:rsidRPr="002510BE">
        <w:rPr>
          <w:rFonts w:ascii="Times New Roman" w:eastAsia="Times New Roman" w:hAnsi="Times New Roman" w:cs="Times New Roman"/>
          <w:color w:val="000000"/>
          <w:sz w:val="20"/>
          <w:szCs w:val="20"/>
        </w:rPr>
        <w:t>of  Buildings</w:t>
      </w:r>
      <w:proofErr w:type="gramEnd"/>
      <w:r w:rsidRPr="002510BE">
        <w:rPr>
          <w:rFonts w:ascii="Times New Roman" w:eastAsia="Times New Roman" w:hAnsi="Times New Roman" w:cs="Times New Roman"/>
          <w:color w:val="000000"/>
          <w:sz w:val="20"/>
          <w:szCs w:val="20"/>
        </w:rPr>
        <w:t xml:space="preserve">"   </w:t>
      </w:r>
      <w:hyperlink r:id="rId22" w:history="1">
        <w:r w:rsidRPr="002510BE">
          <w:rPr>
            <w:rFonts w:ascii="Times New Roman" w:eastAsia="Times New Roman" w:hAnsi="Times New Roman" w:cs="Times New Roman"/>
            <w:color w:val="0000FF"/>
            <w:sz w:val="20"/>
            <w:szCs w:val="20"/>
            <w:u w:val="single"/>
          </w:rPr>
          <w:t>http://www.buildingsdata.eu/</w:t>
        </w:r>
      </w:hyperlink>
      <w:r w:rsidRPr="002510BE">
        <w:rPr>
          <w:rFonts w:ascii="Times New Roman" w:eastAsia="Times New Roman" w:hAnsi="Times New Roman" w:cs="Times New Roman"/>
          <w:color w:val="000000"/>
          <w:sz w:val="20"/>
          <w:szCs w:val="20"/>
        </w:rPr>
        <w:t xml:space="preserve">   is now an important source of information.</w:t>
      </w:r>
    </w:p>
    <w:p w:rsidR="002510BE" w:rsidRPr="002510BE" w:rsidRDefault="002510BE" w:rsidP="002510BE">
      <w:pPr>
        <w:widowControl/>
        <w:numPr>
          <w:ilvl w:val="0"/>
          <w:numId w:val="1"/>
        </w:numPr>
        <w:tabs>
          <w:tab w:val="clear" w:pos="2721"/>
          <w:tab w:val="num" w:pos="1080"/>
        </w:tabs>
        <w:spacing w:afterLines="20" w:after="48" w:line="240" w:lineRule="auto"/>
        <w:ind w:left="1080"/>
        <w:rPr>
          <w:rFonts w:ascii="Times New Roman" w:eastAsia="Times New Roman" w:hAnsi="Times New Roman" w:cs="Times New Roman"/>
          <w:b/>
          <w:color w:val="000000"/>
          <w:sz w:val="20"/>
          <w:szCs w:val="20"/>
        </w:rPr>
      </w:pPr>
      <w:r w:rsidRPr="002510BE">
        <w:rPr>
          <w:rFonts w:ascii="Times New Roman" w:eastAsia="Times New Roman" w:hAnsi="Times New Roman" w:cs="Times New Roman"/>
          <w:b/>
          <w:sz w:val="20"/>
          <w:szCs w:val="20"/>
        </w:rPr>
        <w:t>EUI Task Group</w:t>
      </w:r>
      <w:r w:rsidRPr="002510BE">
        <w:rPr>
          <w:rFonts w:ascii="Times New Roman" w:eastAsia="Times New Roman" w:hAnsi="Times New Roman" w:cs="Times New Roman"/>
          <w:b/>
          <w:sz w:val="20"/>
          <w:szCs w:val="20"/>
        </w:rPr>
        <w:tab/>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color w:val="000000"/>
          <w:sz w:val="20"/>
          <w:szCs w:val="20"/>
        </w:rPr>
      </w:pPr>
      <w:r w:rsidRPr="002510BE">
        <w:rPr>
          <w:rFonts w:ascii="Times New Roman" w:eastAsia="Times New Roman" w:hAnsi="Times New Roman" w:cs="Times New Roman"/>
          <w:color w:val="000000"/>
          <w:sz w:val="20"/>
          <w:szCs w:val="20"/>
        </w:rPr>
        <w:t>White Paper</w:t>
      </w:r>
    </w:p>
    <w:p w:rsidR="002510BE" w:rsidRPr="002510BE" w:rsidRDefault="002510BE" w:rsidP="002510BE">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color w:val="000000"/>
          <w:sz w:val="20"/>
          <w:szCs w:val="20"/>
        </w:rPr>
      </w:pPr>
      <w:r w:rsidRPr="002510BE">
        <w:rPr>
          <w:rFonts w:ascii="Times New Roman" w:eastAsia="Times New Roman" w:hAnsi="Times New Roman" w:cs="Times New Roman"/>
          <w:color w:val="000000"/>
          <w:sz w:val="20"/>
          <w:szCs w:val="20"/>
        </w:rPr>
        <w:t>Issues List</w:t>
      </w:r>
    </w:p>
    <w:p w:rsidR="00A40EDC" w:rsidRPr="00A40EDC" w:rsidRDefault="00A40EDC" w:rsidP="002510BE">
      <w:pPr>
        <w:widowControl/>
        <w:spacing w:afterLines="20" w:after="48" w:line="240" w:lineRule="auto"/>
        <w:ind w:left="360"/>
        <w:rPr>
          <w:rFonts w:ascii="Times New Roman" w:hAnsi="Times New Roman"/>
        </w:rPr>
      </w:pPr>
      <w:bookmarkStart w:id="0" w:name="_GoBack"/>
      <w:bookmarkEnd w:id="0"/>
    </w:p>
    <w:sectPr w:rsidR="00A40EDC" w:rsidRPr="00A40EDC" w:rsidSect="00D0013D">
      <w:type w:val="continuous"/>
      <w:pgSz w:w="11920" w:h="16840"/>
      <w:pgMar w:top="820" w:right="940" w:bottom="280" w:left="16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55E4B"/>
    <w:multiLevelType w:val="hybridMultilevel"/>
    <w:tmpl w:val="A64C5D04"/>
    <w:lvl w:ilvl="0" w:tplc="DA7ED1F2">
      <w:start w:val="1"/>
      <w:numFmt w:val="decimal"/>
      <w:lvlText w:val="%1)"/>
      <w:lvlJc w:val="left"/>
      <w:pPr>
        <w:ind w:left="720" w:hanging="360"/>
      </w:pPr>
      <w:rPr>
        <w:rFonts w:ascii="Calibri" w:hAnsi="Calibri" w:cs="Times New Roman" w:hint="defaul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6A022AF1"/>
    <w:multiLevelType w:val="hybridMultilevel"/>
    <w:tmpl w:val="FB800308"/>
    <w:lvl w:ilvl="0" w:tplc="9FA4D37C">
      <w:start w:val="1"/>
      <w:numFmt w:val="decimal"/>
      <w:lvlText w:val="%1."/>
      <w:lvlJc w:val="left"/>
      <w:pPr>
        <w:tabs>
          <w:tab w:val="num" w:pos="2721"/>
        </w:tabs>
        <w:ind w:left="2721" w:hanging="720"/>
      </w:pPr>
      <w:rPr>
        <w:rFonts w:hint="default"/>
      </w:rPr>
    </w:lvl>
    <w:lvl w:ilvl="1" w:tplc="04090019">
      <w:start w:val="1"/>
      <w:numFmt w:val="lowerLetter"/>
      <w:lvlText w:val="%2."/>
      <w:lvlJc w:val="left"/>
      <w:pPr>
        <w:tabs>
          <w:tab w:val="num" w:pos="3081"/>
        </w:tabs>
        <w:ind w:left="3081" w:hanging="360"/>
      </w:pPr>
    </w:lvl>
    <w:lvl w:ilvl="2" w:tplc="0409001B">
      <w:start w:val="1"/>
      <w:numFmt w:val="lowerRoman"/>
      <w:lvlText w:val="%3."/>
      <w:lvlJc w:val="right"/>
      <w:pPr>
        <w:tabs>
          <w:tab w:val="num" w:pos="3801"/>
        </w:tabs>
        <w:ind w:left="3801" w:hanging="180"/>
      </w:pPr>
    </w:lvl>
    <w:lvl w:ilvl="3" w:tplc="0409000F" w:tentative="1">
      <w:start w:val="1"/>
      <w:numFmt w:val="decimal"/>
      <w:lvlText w:val="%4."/>
      <w:lvlJc w:val="left"/>
      <w:pPr>
        <w:tabs>
          <w:tab w:val="num" w:pos="4521"/>
        </w:tabs>
        <w:ind w:left="4521" w:hanging="360"/>
      </w:pPr>
    </w:lvl>
    <w:lvl w:ilvl="4" w:tplc="04090019" w:tentative="1">
      <w:start w:val="1"/>
      <w:numFmt w:val="lowerLetter"/>
      <w:lvlText w:val="%5."/>
      <w:lvlJc w:val="left"/>
      <w:pPr>
        <w:tabs>
          <w:tab w:val="num" w:pos="5241"/>
        </w:tabs>
        <w:ind w:left="5241" w:hanging="360"/>
      </w:pPr>
    </w:lvl>
    <w:lvl w:ilvl="5" w:tplc="0409001B" w:tentative="1">
      <w:start w:val="1"/>
      <w:numFmt w:val="lowerRoman"/>
      <w:lvlText w:val="%6."/>
      <w:lvlJc w:val="right"/>
      <w:pPr>
        <w:tabs>
          <w:tab w:val="num" w:pos="5961"/>
        </w:tabs>
        <w:ind w:left="5961" w:hanging="180"/>
      </w:pPr>
    </w:lvl>
    <w:lvl w:ilvl="6" w:tplc="0409000F" w:tentative="1">
      <w:start w:val="1"/>
      <w:numFmt w:val="decimal"/>
      <w:lvlText w:val="%7."/>
      <w:lvlJc w:val="left"/>
      <w:pPr>
        <w:tabs>
          <w:tab w:val="num" w:pos="6681"/>
        </w:tabs>
        <w:ind w:left="6681" w:hanging="360"/>
      </w:pPr>
    </w:lvl>
    <w:lvl w:ilvl="7" w:tplc="04090019" w:tentative="1">
      <w:start w:val="1"/>
      <w:numFmt w:val="lowerLetter"/>
      <w:lvlText w:val="%8."/>
      <w:lvlJc w:val="left"/>
      <w:pPr>
        <w:tabs>
          <w:tab w:val="num" w:pos="7401"/>
        </w:tabs>
        <w:ind w:left="7401" w:hanging="360"/>
      </w:pPr>
    </w:lvl>
    <w:lvl w:ilvl="8" w:tplc="0409001B" w:tentative="1">
      <w:start w:val="1"/>
      <w:numFmt w:val="lowerRoman"/>
      <w:lvlText w:val="%9."/>
      <w:lvlJc w:val="right"/>
      <w:pPr>
        <w:tabs>
          <w:tab w:val="num" w:pos="8121"/>
        </w:tabs>
        <w:ind w:left="8121"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2B9"/>
    <w:rsid w:val="00020CD1"/>
    <w:rsid w:val="000B465F"/>
    <w:rsid w:val="00122F9D"/>
    <w:rsid w:val="0013509C"/>
    <w:rsid w:val="002510BE"/>
    <w:rsid w:val="003D7D90"/>
    <w:rsid w:val="00406E39"/>
    <w:rsid w:val="006E766B"/>
    <w:rsid w:val="009E008A"/>
    <w:rsid w:val="00A40EDC"/>
    <w:rsid w:val="00B23452"/>
    <w:rsid w:val="00BA15D9"/>
    <w:rsid w:val="00BC3E12"/>
    <w:rsid w:val="00D0013D"/>
    <w:rsid w:val="00D732B9"/>
    <w:rsid w:val="00E87F11"/>
    <w:rsid w:val="00F43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D90"/>
    <w:pPr>
      <w:ind w:left="720"/>
      <w:contextualSpacing/>
    </w:pPr>
  </w:style>
  <w:style w:type="character" w:styleId="Hyperlink">
    <w:name w:val="Hyperlink"/>
    <w:rsid w:val="00A40EDC"/>
    <w:rPr>
      <w:color w:val="0000FF"/>
      <w:u w:val="single"/>
    </w:rPr>
  </w:style>
  <w:style w:type="paragraph" w:customStyle="1" w:styleId="msolistparagraph0">
    <w:name w:val="msolistparagraph"/>
    <w:basedOn w:val="Normal"/>
    <w:rsid w:val="00A40EDC"/>
    <w:pPr>
      <w:widowControl/>
      <w:spacing w:after="0" w:line="240" w:lineRule="auto"/>
      <w:ind w:left="720"/>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D90"/>
    <w:pPr>
      <w:ind w:left="720"/>
      <w:contextualSpacing/>
    </w:pPr>
  </w:style>
  <w:style w:type="character" w:styleId="Hyperlink">
    <w:name w:val="Hyperlink"/>
    <w:rsid w:val="00A40EDC"/>
    <w:rPr>
      <w:color w:val="0000FF"/>
      <w:u w:val="single"/>
    </w:rPr>
  </w:style>
  <w:style w:type="paragraph" w:customStyle="1" w:styleId="msolistparagraph0">
    <w:name w:val="msolistparagraph"/>
    <w:basedOn w:val="Normal"/>
    <w:rsid w:val="00A40EDC"/>
    <w:pPr>
      <w:widowControl/>
      <w:spacing w:after="0" w:line="240" w:lineRule="auto"/>
      <w:ind w:left="720"/>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1lr68OB%20" TargetMode="External"/><Relationship Id="rId13" Type="http://schemas.openxmlformats.org/officeDocument/2006/relationships/hyperlink" Target="http://www.ansi.org/eescc" TargetMode="External"/><Relationship Id="rId18" Type="http://schemas.openxmlformats.org/officeDocument/2006/relationships/hyperlink" Target="http://www.buildingrating.org/ipeec" TargetMode="External"/><Relationship Id="rId3" Type="http://schemas.microsoft.com/office/2007/relationships/stylesWithEffects" Target="stylesWithEffects.xml"/><Relationship Id="rId21" Type="http://schemas.openxmlformats.org/officeDocument/2006/relationships/hyperlink" Target="http://www1.eere.energy.gov/buildings/commercial/bpd.html?utm_source=BPD+redirect&amp;utm_medium=redirect&amp;utm_campaign=BPD+redirect" TargetMode="External"/><Relationship Id="rId7" Type="http://schemas.openxmlformats.org/officeDocument/2006/relationships/hyperlink" Target="http://www.iea-ebc.org/projects/completed-projects/ebc-annex-53/" TargetMode="External"/><Relationship Id="rId12" Type="http://schemas.openxmlformats.org/officeDocument/2006/relationships/hyperlink" Target="http://www.leg.state.vt.us/reports/2013ExternalReports/285749.pdf" TargetMode="External"/><Relationship Id="rId17" Type="http://schemas.openxmlformats.org/officeDocument/2006/relationships/hyperlink" Target="http://bit.ly/RNA3Uv" TargetMode="External"/><Relationship Id="rId2" Type="http://schemas.openxmlformats.org/officeDocument/2006/relationships/styles" Target="styles.xml"/><Relationship Id="rId16" Type="http://schemas.openxmlformats.org/officeDocument/2006/relationships/hyperlink" Target="http://www.ansi.org/eescc" TargetMode="External"/><Relationship Id="rId20" Type="http://schemas.openxmlformats.org/officeDocument/2006/relationships/hyperlink" Target="http://energyiq.lbl.gov/" TargetMode="External"/><Relationship Id="rId1" Type="http://schemas.openxmlformats.org/officeDocument/2006/relationships/numbering" Target="numbering.xml"/><Relationship Id="rId6" Type="http://schemas.openxmlformats.org/officeDocument/2006/relationships/hyperlink" Target="http://ipeec.org/BEET.html" TargetMode="External"/><Relationship Id="rId11" Type="http://schemas.openxmlformats.org/officeDocument/2006/relationships/hyperlink" Target="http://www3.dps.ny.gov/W/PSCWeb.nsf/All/26BE8A93967E604785257CC40066B91A?OpenDocumen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nsi.org/eescc/" TargetMode="External"/><Relationship Id="rId23" Type="http://schemas.openxmlformats.org/officeDocument/2006/relationships/fontTable" Target="fontTable.xml"/><Relationship Id="rId10" Type="http://schemas.openxmlformats.org/officeDocument/2006/relationships/hyperlink" Target="http://bit.ly/1xOo89P" TargetMode="External"/><Relationship Id="rId19" Type="http://schemas.openxmlformats.org/officeDocument/2006/relationships/hyperlink" Target="http://www1.eere.energy.gov/buildings/commercial/seed_platform.html" TargetMode="External"/><Relationship Id="rId4" Type="http://schemas.openxmlformats.org/officeDocument/2006/relationships/settings" Target="settings.xml"/><Relationship Id="rId9" Type="http://schemas.openxmlformats.org/officeDocument/2006/relationships/hyperlink" Target="http://bit.ly/1pKANoK" TargetMode="External"/><Relationship Id="rId14" Type="http://schemas.openxmlformats.org/officeDocument/2006/relationships/hyperlink" Target="http://www.ansi.org/" TargetMode="External"/><Relationship Id="rId22" Type="http://schemas.openxmlformats.org/officeDocument/2006/relationships/hyperlink" Target="http://www.buildingsdat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1004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MEETING MINUTES</vt:lpstr>
    </vt:vector>
  </TitlesOfParts>
  <Company/>
  <LinksUpToDate>false</LinksUpToDate>
  <CharactersWithSpaces>6714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dc:title>
  <dc:creator>jmm</dc:creator>
  <cp:lastModifiedBy>Dennis Landsberg</cp:lastModifiedBy>
  <cp:revision>3</cp:revision>
  <dcterms:created xsi:type="dcterms:W3CDTF">2014-06-30T23:41:00Z</dcterms:created>
  <dcterms:modified xsi:type="dcterms:W3CDTF">2014-06-30T23:46:00Z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2012-06-25T00:00:00Z</vt:filetime>
  </property>
  <property fmtid="{D5CDD505-2E9C-101B-9397-08002B2CF9AE}" pid="3" name="LastSaved">
    <vt:filetime>2013-01-28T00:00:00Z</vt:filetime>
  </property>
</Properties>
</file>