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DC" w:rsidRDefault="00A40EDC">
      <w:pPr>
        <w:spacing w:after="0" w:line="240" w:lineRule="auto"/>
        <w:ind w:left="402" w:right="28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Minutes</w:t>
      </w:r>
    </w:p>
    <w:p w:rsidR="00D732B9" w:rsidRDefault="003D7D90">
      <w:pPr>
        <w:spacing w:after="0" w:line="240" w:lineRule="auto"/>
        <w:ind w:left="402" w:right="280"/>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TC 7.6 Monitoring and Ene</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z w:val="32"/>
          <w:szCs w:val="32"/>
        </w:rPr>
        <w:t>gy Performance Subcommittee</w:t>
      </w:r>
    </w:p>
    <w:p w:rsidR="00D732B9" w:rsidRDefault="009E008A">
      <w:pPr>
        <w:spacing w:before="29" w:after="0" w:line="240" w:lineRule="auto"/>
        <w:ind w:left="1982" w:right="186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Dallas</w:t>
      </w:r>
      <w:r w:rsidR="003D7D90">
        <w:rPr>
          <w:rFonts w:ascii="Times New Roman" w:eastAsia="Times New Roman" w:hAnsi="Times New Roman" w:cs="Times New Roman"/>
          <w:sz w:val="28"/>
          <w:szCs w:val="28"/>
        </w:rPr>
        <w:t>,</w:t>
      </w:r>
      <w:r w:rsidR="003D7D90">
        <w:rPr>
          <w:rFonts w:ascii="Times New Roman" w:eastAsia="Times New Roman" w:hAnsi="Times New Roman" w:cs="Times New Roman"/>
          <w:spacing w:val="-10"/>
          <w:sz w:val="28"/>
          <w:szCs w:val="28"/>
        </w:rPr>
        <w:t xml:space="preserve"> </w:t>
      </w:r>
      <w:r w:rsidR="003D7D90">
        <w:rPr>
          <w:rFonts w:ascii="Times New Roman" w:eastAsia="Times New Roman" w:hAnsi="Times New Roman" w:cs="Times New Roman"/>
          <w:sz w:val="28"/>
          <w:szCs w:val="28"/>
        </w:rPr>
        <w:t>TX</w:t>
      </w:r>
      <w:r w:rsidR="003D7D90">
        <w:rPr>
          <w:rFonts w:ascii="Times New Roman" w:eastAsia="Times New Roman" w:hAnsi="Times New Roman" w:cs="Times New Roman"/>
          <w:spacing w:val="-4"/>
          <w:sz w:val="28"/>
          <w:szCs w:val="28"/>
        </w:rPr>
        <w:t xml:space="preserve"> </w:t>
      </w:r>
      <w:r w:rsidR="003D7D90">
        <w:rPr>
          <w:rFonts w:ascii="Times New Roman" w:eastAsia="Times New Roman" w:hAnsi="Times New Roman" w:cs="Times New Roman"/>
          <w:sz w:val="28"/>
          <w:szCs w:val="28"/>
        </w:rPr>
        <w:t>—</w:t>
      </w:r>
      <w:r w:rsidR="003D7D90">
        <w:rPr>
          <w:rFonts w:ascii="Times New Roman" w:eastAsia="Times New Roman" w:hAnsi="Times New Roman" w:cs="Times New Roman"/>
          <w:spacing w:val="-3"/>
          <w:sz w:val="28"/>
          <w:szCs w:val="28"/>
        </w:rPr>
        <w:t xml:space="preserve"> </w:t>
      </w:r>
      <w:r w:rsidR="003D7D90">
        <w:rPr>
          <w:rFonts w:ascii="Times New Roman" w:eastAsia="Times New Roman" w:hAnsi="Times New Roman" w:cs="Times New Roman"/>
          <w:sz w:val="28"/>
          <w:szCs w:val="28"/>
        </w:rPr>
        <w:t>Monday,</w:t>
      </w:r>
      <w:r w:rsidR="003D7D90">
        <w:rPr>
          <w:rFonts w:ascii="Times New Roman" w:eastAsia="Times New Roman" w:hAnsi="Times New Roman" w:cs="Times New Roman"/>
          <w:spacing w:val="-10"/>
          <w:sz w:val="28"/>
          <w:szCs w:val="28"/>
        </w:rPr>
        <w:t xml:space="preserve"> </w:t>
      </w:r>
      <w:r w:rsidR="003D7D90">
        <w:rPr>
          <w:rFonts w:ascii="Times New Roman" w:eastAsia="Times New Roman" w:hAnsi="Times New Roman" w:cs="Times New Roman"/>
          <w:sz w:val="28"/>
          <w:szCs w:val="28"/>
        </w:rPr>
        <w:t>J</w:t>
      </w:r>
      <w:r w:rsidR="00B23452">
        <w:rPr>
          <w:rFonts w:ascii="Times New Roman" w:eastAsia="Times New Roman" w:hAnsi="Times New Roman" w:cs="Times New Roman"/>
          <w:sz w:val="28"/>
          <w:szCs w:val="28"/>
        </w:rPr>
        <w:t>une</w:t>
      </w:r>
      <w:r w:rsidR="003D7D90">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2</w:t>
      </w:r>
      <w:r w:rsidR="00B23452">
        <w:rPr>
          <w:rFonts w:ascii="Times New Roman" w:eastAsia="Times New Roman" w:hAnsi="Times New Roman" w:cs="Times New Roman"/>
          <w:spacing w:val="-5"/>
          <w:sz w:val="28"/>
          <w:szCs w:val="28"/>
        </w:rPr>
        <w:t>4</w:t>
      </w:r>
      <w:r w:rsidR="003D7D90">
        <w:rPr>
          <w:rFonts w:ascii="Times New Roman" w:eastAsia="Times New Roman" w:hAnsi="Times New Roman" w:cs="Times New Roman"/>
          <w:sz w:val="28"/>
          <w:szCs w:val="28"/>
        </w:rPr>
        <w:t>,</w:t>
      </w:r>
      <w:r w:rsidR="003D7D90">
        <w:rPr>
          <w:rFonts w:ascii="Times New Roman" w:eastAsia="Times New Roman" w:hAnsi="Times New Roman" w:cs="Times New Roman"/>
          <w:spacing w:val="-3"/>
          <w:sz w:val="28"/>
          <w:szCs w:val="28"/>
        </w:rPr>
        <w:t xml:space="preserve"> </w:t>
      </w:r>
      <w:r w:rsidR="003D7D90">
        <w:rPr>
          <w:rFonts w:ascii="Times New Roman" w:eastAsia="Times New Roman" w:hAnsi="Times New Roman" w:cs="Times New Roman"/>
          <w:w w:val="99"/>
          <w:sz w:val="28"/>
          <w:szCs w:val="28"/>
        </w:rPr>
        <w:t>201</w:t>
      </w:r>
      <w:r>
        <w:rPr>
          <w:rFonts w:ascii="Times New Roman" w:eastAsia="Times New Roman" w:hAnsi="Times New Roman" w:cs="Times New Roman"/>
          <w:w w:val="99"/>
          <w:sz w:val="28"/>
          <w:szCs w:val="28"/>
        </w:rPr>
        <w:t>3</w:t>
      </w:r>
    </w:p>
    <w:p w:rsidR="00D732B9" w:rsidRDefault="003D7D90">
      <w:pPr>
        <w:spacing w:before="38" w:after="0" w:line="240" w:lineRule="auto"/>
        <w:ind w:left="3068" w:right="294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Dennis</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Landsberg,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w w:val="99"/>
          <w:sz w:val="28"/>
          <w:szCs w:val="28"/>
        </w:rPr>
        <w:t>Chair</w:t>
      </w:r>
    </w:p>
    <w:p w:rsidR="00D732B9" w:rsidRDefault="00D732B9">
      <w:pPr>
        <w:spacing w:before="6" w:after="0" w:line="150" w:lineRule="exact"/>
        <w:rPr>
          <w:sz w:val="15"/>
          <w:szCs w:val="15"/>
        </w:rPr>
      </w:pPr>
    </w:p>
    <w:p w:rsidR="00D732B9" w:rsidRDefault="00D732B9">
      <w:pPr>
        <w:spacing w:after="0" w:line="200" w:lineRule="exact"/>
        <w:rPr>
          <w:sz w:val="20"/>
          <w:szCs w:val="20"/>
        </w:rPr>
      </w:pPr>
    </w:p>
    <w:p w:rsidR="00D732B9" w:rsidRDefault="003D7D90" w:rsidP="00B23452">
      <w:pPr>
        <w:spacing w:after="0" w:line="240" w:lineRule="auto"/>
        <w:ind w:left="432" w:right="-20" w:hanging="432"/>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meeting</w:t>
      </w:r>
      <w:r>
        <w:rPr>
          <w:rFonts w:ascii="Times New Roman" w:eastAsia="Times New Roman" w:hAnsi="Times New Roman" w:cs="Times New Roman"/>
          <w:spacing w:val="-7"/>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1"/>
        </w:rPr>
        <w:t>t</w:t>
      </w:r>
      <w:r>
        <w:rPr>
          <w:rFonts w:ascii="Times New Roman" w:eastAsia="Times New Roman" w:hAnsi="Times New Roman" w:cs="Times New Roman"/>
        </w:rPr>
        <w:t>ended</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by </w:t>
      </w:r>
      <w:r w:rsidR="009E008A">
        <w:rPr>
          <w:rFonts w:ascii="Times New Roman" w:eastAsia="Times New Roman" w:hAnsi="Times New Roman" w:cs="Times New Roman"/>
          <w:b/>
          <w:bCs/>
          <w:spacing w:val="-1"/>
        </w:rPr>
        <w:t>9</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rPr>
        <w:t>rs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TC</w:t>
      </w:r>
      <w:r w:rsidR="00B23452">
        <w:rPr>
          <w:rFonts w:ascii="Times New Roman" w:eastAsia="Times New Roman" w:hAnsi="Times New Roman" w:cs="Times New Roman"/>
        </w:rPr>
        <w:t>, 3 corresponding members and 20 guests.</w:t>
      </w:r>
    </w:p>
    <w:p w:rsidR="00D732B9" w:rsidRDefault="00D732B9" w:rsidP="00B23452">
      <w:pPr>
        <w:spacing w:before="5" w:after="0" w:line="240" w:lineRule="exact"/>
        <w:ind w:hanging="432"/>
        <w:rPr>
          <w:sz w:val="24"/>
          <w:szCs w:val="24"/>
        </w:rPr>
      </w:pPr>
    </w:p>
    <w:p w:rsidR="00D732B9" w:rsidRDefault="003D7D90" w:rsidP="00B23452">
      <w:pPr>
        <w:spacing w:before="31" w:after="0" w:line="240" w:lineRule="auto"/>
        <w:ind w:left="432" w:right="-20" w:hanging="43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rPr>
        <w:t>STAN</w:t>
      </w:r>
      <w:r>
        <w:rPr>
          <w:rFonts w:ascii="Times New Roman" w:eastAsia="Times New Roman" w:hAnsi="Times New Roman" w:cs="Times New Roman"/>
          <w:spacing w:val="1"/>
        </w:rPr>
        <w:t>D</w:t>
      </w:r>
      <w:r>
        <w:rPr>
          <w:rFonts w:ascii="Times New Roman" w:eastAsia="Times New Roman" w:hAnsi="Times New Roman" w:cs="Times New Roman"/>
        </w:rPr>
        <w:t>AR</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rPr>
        <w:t>Guidelines</w:t>
      </w:r>
    </w:p>
    <w:p w:rsidR="00D732B9" w:rsidRPr="00A40EDC" w:rsidRDefault="00D732B9" w:rsidP="00B23452">
      <w:pPr>
        <w:spacing w:before="9" w:after="0" w:line="120" w:lineRule="exact"/>
        <w:ind w:hanging="432"/>
        <w:rPr>
          <w:rFonts w:ascii="Times New Roman" w:hAnsi="Times New Roman" w:cs="Times New Roman"/>
        </w:rPr>
      </w:pPr>
    </w:p>
    <w:p w:rsidR="00BC3E12" w:rsidRPr="00A40EDC" w:rsidRDefault="003D7D90" w:rsidP="00B23452">
      <w:pPr>
        <w:tabs>
          <w:tab w:val="left" w:pos="1580"/>
        </w:tabs>
        <w:spacing w:after="0" w:line="240" w:lineRule="exact"/>
        <w:ind w:left="1224" w:right="2010" w:hanging="432"/>
        <w:rPr>
          <w:rFonts w:ascii="Times New Roman" w:eastAsia="Times New Roman" w:hAnsi="Times New Roman" w:cs="Times New Roman"/>
        </w:rPr>
      </w:pPr>
      <w:r w:rsidRPr="00A40EDC">
        <w:rPr>
          <w:rFonts w:ascii="Times New Roman" w:eastAsia="Times New Roman" w:hAnsi="Times New Roman" w:cs="Times New Roman"/>
        </w:rPr>
        <w:t>a.</w:t>
      </w:r>
      <w:r w:rsidRPr="00A40EDC">
        <w:rPr>
          <w:rFonts w:ascii="Times New Roman" w:eastAsia="Times New Roman" w:hAnsi="Times New Roman" w:cs="Times New Roman"/>
        </w:rPr>
        <w:tab/>
        <w:t>Standard</w:t>
      </w:r>
      <w:r w:rsidRPr="00A40EDC">
        <w:rPr>
          <w:rFonts w:ascii="Times New Roman" w:eastAsia="Times New Roman" w:hAnsi="Times New Roman" w:cs="Times New Roman"/>
          <w:spacing w:val="-8"/>
        </w:rPr>
        <w:t xml:space="preserve"> </w:t>
      </w:r>
      <w:r w:rsidRPr="00A40EDC">
        <w:rPr>
          <w:rFonts w:ascii="Times New Roman" w:eastAsia="Times New Roman" w:hAnsi="Times New Roman" w:cs="Times New Roman"/>
        </w:rPr>
        <w:t>100</w:t>
      </w:r>
      <w:r w:rsidRPr="00A40EDC">
        <w:rPr>
          <w:rFonts w:ascii="Times New Roman" w:eastAsia="Times New Roman" w:hAnsi="Times New Roman" w:cs="Times New Roman"/>
          <w:spacing w:val="-4"/>
        </w:rPr>
        <w:t xml:space="preserve"> </w:t>
      </w:r>
      <w:r w:rsidRPr="00A40EDC">
        <w:rPr>
          <w:rFonts w:ascii="Times New Roman" w:eastAsia="Times New Roman" w:hAnsi="Times New Roman" w:cs="Times New Roman"/>
        </w:rPr>
        <w:t>update.</w:t>
      </w:r>
      <w:r w:rsidRPr="00A40EDC">
        <w:rPr>
          <w:rFonts w:ascii="Times New Roman" w:eastAsia="Times New Roman" w:hAnsi="Times New Roman" w:cs="Times New Roman"/>
          <w:spacing w:val="50"/>
        </w:rPr>
        <w:t xml:space="preserve"> </w:t>
      </w:r>
      <w:proofErr w:type="gramStart"/>
      <w:r w:rsidRPr="00A40EDC">
        <w:rPr>
          <w:rFonts w:ascii="Times New Roman" w:eastAsia="Times New Roman" w:hAnsi="Times New Roman" w:cs="Times New Roman"/>
        </w:rPr>
        <w:t>Committee</w:t>
      </w:r>
      <w:r w:rsidRPr="00A40EDC">
        <w:rPr>
          <w:rFonts w:ascii="Times New Roman" w:eastAsia="Times New Roman" w:hAnsi="Times New Roman" w:cs="Times New Roman"/>
          <w:spacing w:val="-10"/>
        </w:rPr>
        <w:t xml:space="preserve"> </w:t>
      </w:r>
      <w:r w:rsidRPr="00A40EDC">
        <w:rPr>
          <w:rFonts w:ascii="Times New Roman" w:eastAsia="Times New Roman" w:hAnsi="Times New Roman" w:cs="Times New Roman"/>
        </w:rPr>
        <w:t>reviewing</w:t>
      </w:r>
      <w:r w:rsidRPr="00A40EDC">
        <w:rPr>
          <w:rFonts w:ascii="Times New Roman" w:eastAsia="Times New Roman" w:hAnsi="Times New Roman" w:cs="Times New Roman"/>
          <w:spacing w:val="-9"/>
        </w:rPr>
        <w:t xml:space="preserve"> </w:t>
      </w:r>
      <w:r w:rsidR="00BC3E12" w:rsidRPr="00A40EDC">
        <w:rPr>
          <w:rFonts w:ascii="Times New Roman" w:eastAsia="Times New Roman" w:hAnsi="Times New Roman" w:cs="Times New Roman"/>
          <w:spacing w:val="-9"/>
        </w:rPr>
        <w:t>c</w:t>
      </w:r>
      <w:r w:rsidRPr="00A40EDC">
        <w:rPr>
          <w:rFonts w:ascii="Times New Roman" w:eastAsia="Times New Roman" w:hAnsi="Times New Roman" w:cs="Times New Roman"/>
        </w:rPr>
        <w:t>omments.</w:t>
      </w:r>
      <w:proofErr w:type="gramEnd"/>
      <w:r w:rsidRPr="00A40EDC">
        <w:rPr>
          <w:rFonts w:ascii="Times New Roman" w:eastAsia="Times New Roman" w:hAnsi="Times New Roman" w:cs="Times New Roman"/>
        </w:rPr>
        <w:t xml:space="preserve"> </w:t>
      </w:r>
    </w:p>
    <w:p w:rsidR="00D732B9" w:rsidRPr="00A40EDC" w:rsidRDefault="00BC3E12" w:rsidP="00B23452">
      <w:pPr>
        <w:spacing w:after="0" w:line="240" w:lineRule="exact"/>
        <w:ind w:left="1620" w:right="2010" w:hanging="432"/>
        <w:rPr>
          <w:rFonts w:ascii="Times New Roman" w:eastAsia="Times New Roman" w:hAnsi="Times New Roman" w:cs="Times New Roman"/>
        </w:rPr>
      </w:pPr>
      <w:r w:rsidRPr="00A40EDC">
        <w:rPr>
          <w:rFonts w:ascii="Times New Roman" w:eastAsia="Times New Roman" w:hAnsi="Times New Roman" w:cs="Times New Roman"/>
        </w:rPr>
        <w:t xml:space="preserve"> </w:t>
      </w:r>
      <w:r w:rsidR="003D7D90" w:rsidRPr="00A40EDC">
        <w:rPr>
          <w:rFonts w:ascii="Times New Roman" w:eastAsia="Times New Roman" w:hAnsi="Times New Roman" w:cs="Times New Roman"/>
          <w:spacing w:val="1"/>
        </w:rPr>
        <w:t>b</w:t>
      </w:r>
      <w:r w:rsidR="003D7D90" w:rsidRPr="00A40EDC">
        <w:rPr>
          <w:rFonts w:ascii="Times New Roman" w:eastAsia="Times New Roman" w:hAnsi="Times New Roman" w:cs="Times New Roman"/>
        </w:rPr>
        <w:t xml:space="preserve">.  </w:t>
      </w:r>
      <w:r w:rsidR="003D7D90" w:rsidRPr="00A40EDC">
        <w:rPr>
          <w:rFonts w:ascii="Times New Roman" w:eastAsia="Times New Roman" w:hAnsi="Times New Roman" w:cs="Times New Roman"/>
          <w:spacing w:val="28"/>
        </w:rPr>
        <w:t xml:space="preserve"> </w:t>
      </w:r>
      <w:r w:rsidR="003D7D90" w:rsidRPr="00A40EDC">
        <w:rPr>
          <w:rFonts w:ascii="Times New Roman" w:eastAsia="Times New Roman" w:hAnsi="Times New Roman" w:cs="Times New Roman"/>
        </w:rPr>
        <w:t>Standard</w:t>
      </w:r>
      <w:r w:rsidR="003D7D90" w:rsidRPr="00A40EDC">
        <w:rPr>
          <w:rFonts w:ascii="Times New Roman" w:eastAsia="Times New Roman" w:hAnsi="Times New Roman" w:cs="Times New Roman"/>
          <w:spacing w:val="-8"/>
        </w:rPr>
        <w:t xml:space="preserve"> </w:t>
      </w:r>
      <w:r w:rsidR="003D7D90" w:rsidRPr="00A40EDC">
        <w:rPr>
          <w:rFonts w:ascii="Times New Roman" w:eastAsia="Times New Roman" w:hAnsi="Times New Roman" w:cs="Times New Roman"/>
        </w:rPr>
        <w:t>105</w:t>
      </w:r>
      <w:r w:rsidR="003D7D90" w:rsidRPr="00A40EDC">
        <w:rPr>
          <w:rFonts w:ascii="Times New Roman" w:eastAsia="Times New Roman" w:hAnsi="Times New Roman" w:cs="Times New Roman"/>
          <w:spacing w:val="-4"/>
        </w:rPr>
        <w:t xml:space="preserve"> </w:t>
      </w:r>
      <w:r w:rsidR="003D7D90" w:rsidRPr="00A40EDC">
        <w:rPr>
          <w:rFonts w:ascii="Times New Roman" w:eastAsia="Times New Roman" w:hAnsi="Times New Roman" w:cs="Times New Roman"/>
        </w:rPr>
        <w:t>update.</w:t>
      </w:r>
      <w:r w:rsidR="003D7D90" w:rsidRPr="00A40EDC">
        <w:rPr>
          <w:rFonts w:ascii="Times New Roman" w:eastAsia="Times New Roman" w:hAnsi="Times New Roman" w:cs="Times New Roman"/>
          <w:spacing w:val="50"/>
        </w:rPr>
        <w:t xml:space="preserve"> </w:t>
      </w:r>
      <w:proofErr w:type="gramStart"/>
      <w:r w:rsidR="00B23452" w:rsidRPr="00A40EDC">
        <w:rPr>
          <w:rFonts w:ascii="Times New Roman" w:eastAsia="Times New Roman" w:hAnsi="Times New Roman" w:cs="Times New Roman"/>
        </w:rPr>
        <w:t>In appeal</w:t>
      </w:r>
      <w:r w:rsidR="003D7D90" w:rsidRPr="00A40EDC">
        <w:rPr>
          <w:rFonts w:ascii="Times New Roman" w:eastAsia="Times New Roman" w:hAnsi="Times New Roman" w:cs="Times New Roman"/>
        </w:rPr>
        <w:t>.</w:t>
      </w:r>
      <w:proofErr w:type="gramEnd"/>
    </w:p>
    <w:p w:rsidR="00D732B9" w:rsidRPr="00A40EDC" w:rsidRDefault="003D7D90" w:rsidP="00B23452">
      <w:pPr>
        <w:tabs>
          <w:tab w:val="left" w:pos="1580"/>
        </w:tabs>
        <w:spacing w:after="0" w:line="240" w:lineRule="exact"/>
        <w:ind w:left="1584" w:right="54" w:hanging="432"/>
        <w:rPr>
          <w:rFonts w:ascii="Times New Roman" w:eastAsia="Times New Roman" w:hAnsi="Times New Roman" w:cs="Times New Roman"/>
        </w:rPr>
      </w:pPr>
      <w:proofErr w:type="gramStart"/>
      <w:r w:rsidRPr="00A40EDC">
        <w:rPr>
          <w:rFonts w:ascii="Times New Roman" w:eastAsia="Times New Roman" w:hAnsi="Times New Roman" w:cs="Times New Roman"/>
        </w:rPr>
        <w:t>c</w:t>
      </w:r>
      <w:proofErr w:type="gramEnd"/>
      <w:r w:rsidRPr="00A40EDC">
        <w:rPr>
          <w:rFonts w:ascii="Times New Roman" w:eastAsia="Times New Roman" w:hAnsi="Times New Roman" w:cs="Times New Roman"/>
        </w:rPr>
        <w:t>.</w:t>
      </w:r>
      <w:r w:rsidRPr="00A40EDC">
        <w:rPr>
          <w:rFonts w:ascii="Times New Roman" w:eastAsia="Times New Roman" w:hAnsi="Times New Roman" w:cs="Times New Roman"/>
        </w:rPr>
        <w:tab/>
        <w:t>Guideline</w:t>
      </w:r>
      <w:r w:rsidRPr="00A40EDC">
        <w:rPr>
          <w:rFonts w:ascii="Times New Roman" w:eastAsia="Times New Roman" w:hAnsi="Times New Roman" w:cs="Times New Roman"/>
          <w:spacing w:val="-9"/>
        </w:rPr>
        <w:t xml:space="preserve"> </w:t>
      </w:r>
      <w:r w:rsidRPr="00A40EDC">
        <w:rPr>
          <w:rFonts w:ascii="Times New Roman" w:eastAsia="Times New Roman" w:hAnsi="Times New Roman" w:cs="Times New Roman"/>
        </w:rPr>
        <w:t>14</w:t>
      </w:r>
      <w:r w:rsidRPr="00A40EDC">
        <w:rPr>
          <w:rFonts w:ascii="Times New Roman" w:eastAsia="Times New Roman" w:hAnsi="Times New Roman" w:cs="Times New Roman"/>
          <w:spacing w:val="-3"/>
        </w:rPr>
        <w:t xml:space="preserve"> </w:t>
      </w:r>
      <w:r w:rsidRPr="00A40EDC">
        <w:rPr>
          <w:rFonts w:ascii="Times New Roman" w:eastAsia="Times New Roman" w:hAnsi="Times New Roman" w:cs="Times New Roman"/>
        </w:rPr>
        <w:t>update.</w:t>
      </w:r>
      <w:r w:rsidRPr="00A40EDC">
        <w:rPr>
          <w:rFonts w:ascii="Times New Roman" w:eastAsia="Times New Roman" w:hAnsi="Times New Roman" w:cs="Times New Roman"/>
          <w:spacing w:val="49"/>
        </w:rPr>
        <w:t xml:space="preserve"> </w:t>
      </w:r>
      <w:proofErr w:type="gramStart"/>
      <w:r w:rsidR="009E008A" w:rsidRPr="00A40EDC">
        <w:rPr>
          <w:rFonts w:ascii="Times New Roman" w:eastAsia="Times New Roman" w:hAnsi="Times New Roman" w:cs="Times New Roman"/>
        </w:rPr>
        <w:t>Reviewing comments</w:t>
      </w:r>
      <w:r w:rsidRPr="00A40EDC">
        <w:rPr>
          <w:rFonts w:ascii="Times New Roman" w:eastAsia="Times New Roman" w:hAnsi="Times New Roman" w:cs="Times New Roman"/>
        </w:rPr>
        <w:t>.</w:t>
      </w:r>
      <w:proofErr w:type="gramEnd"/>
    </w:p>
    <w:p w:rsidR="009E008A" w:rsidRPr="00A40EDC" w:rsidRDefault="009E008A" w:rsidP="00B23452">
      <w:pPr>
        <w:tabs>
          <w:tab w:val="num" w:pos="540"/>
          <w:tab w:val="left" w:pos="1580"/>
        </w:tabs>
        <w:spacing w:after="0" w:line="240" w:lineRule="exact"/>
        <w:ind w:left="1584" w:right="54" w:hanging="432"/>
        <w:rPr>
          <w:rFonts w:ascii="Times New Roman" w:eastAsia="Times New Roman" w:hAnsi="Times New Roman" w:cs="Times New Roman"/>
        </w:rPr>
      </w:pPr>
      <w:r w:rsidRPr="00A40EDC">
        <w:rPr>
          <w:rFonts w:ascii="Times New Roman" w:eastAsia="Times New Roman" w:hAnsi="Times New Roman" w:cs="Times New Roman"/>
        </w:rPr>
        <w:t xml:space="preserve">e.   Standard 211 Commercial Building Energy </w:t>
      </w:r>
      <w:proofErr w:type="gramStart"/>
      <w:r w:rsidRPr="00A40EDC">
        <w:rPr>
          <w:rFonts w:ascii="Times New Roman" w:eastAsia="Times New Roman" w:hAnsi="Times New Roman" w:cs="Times New Roman"/>
        </w:rPr>
        <w:t>Audits  -</w:t>
      </w:r>
      <w:proofErr w:type="gramEnd"/>
      <w:r w:rsidRPr="00A40EDC">
        <w:rPr>
          <w:rFonts w:ascii="Times New Roman" w:eastAsia="Times New Roman" w:hAnsi="Times New Roman" w:cs="Times New Roman"/>
        </w:rPr>
        <w:t xml:space="preserve"> new standard - </w:t>
      </w:r>
      <w:r w:rsidR="00B23452" w:rsidRPr="00A40EDC">
        <w:rPr>
          <w:rFonts w:ascii="Times New Roman" w:eastAsia="Times New Roman" w:hAnsi="Times New Roman" w:cs="Times New Roman"/>
        </w:rPr>
        <w:t>second</w:t>
      </w:r>
      <w:r w:rsidRPr="00A40EDC">
        <w:rPr>
          <w:rFonts w:ascii="Times New Roman" w:eastAsia="Times New Roman" w:hAnsi="Times New Roman" w:cs="Times New Roman"/>
        </w:rPr>
        <w:t xml:space="preserve"> meeting held this morning</w:t>
      </w:r>
      <w:r w:rsidR="00B23452" w:rsidRPr="00A40EDC">
        <w:rPr>
          <w:rFonts w:ascii="Times New Roman" w:eastAsia="Times New Roman" w:hAnsi="Times New Roman" w:cs="Times New Roman"/>
        </w:rPr>
        <w:t xml:space="preserve"> – developing text</w:t>
      </w:r>
    </w:p>
    <w:p w:rsidR="009E008A" w:rsidRPr="00A40EDC" w:rsidRDefault="009E008A" w:rsidP="00B23452">
      <w:pPr>
        <w:tabs>
          <w:tab w:val="num" w:pos="540"/>
          <w:tab w:val="left" w:pos="1580"/>
        </w:tabs>
        <w:spacing w:after="0" w:line="240" w:lineRule="exact"/>
        <w:ind w:left="1584" w:right="54" w:hanging="432"/>
        <w:rPr>
          <w:rFonts w:ascii="Times New Roman" w:eastAsia="Times New Roman" w:hAnsi="Times New Roman" w:cs="Times New Roman"/>
        </w:rPr>
      </w:pPr>
      <w:proofErr w:type="gramStart"/>
      <w:r w:rsidRPr="00A40EDC">
        <w:rPr>
          <w:rFonts w:ascii="Times New Roman" w:eastAsia="Times New Roman" w:hAnsi="Times New Roman" w:cs="Times New Roman"/>
        </w:rPr>
        <w:t>f.    TC</w:t>
      </w:r>
      <w:proofErr w:type="gramEnd"/>
      <w:r w:rsidRPr="00A40EDC">
        <w:rPr>
          <w:rFonts w:ascii="Times New Roman" w:eastAsia="Times New Roman" w:hAnsi="Times New Roman" w:cs="Times New Roman"/>
        </w:rPr>
        <w:t xml:space="preserve"> 9.9 development of an energy standard for data centers- Std. 90.4.</w:t>
      </w:r>
    </w:p>
    <w:p w:rsidR="00D732B9" w:rsidRPr="00A40EDC" w:rsidRDefault="00D732B9" w:rsidP="00B23452">
      <w:pPr>
        <w:spacing w:before="10" w:after="0" w:line="260" w:lineRule="exact"/>
        <w:ind w:hanging="432"/>
        <w:rPr>
          <w:rFonts w:ascii="Times New Roman" w:hAnsi="Times New Roman" w:cs="Times New Roman"/>
        </w:rPr>
      </w:pPr>
    </w:p>
    <w:p w:rsidR="003D7D90" w:rsidRPr="00A40EDC" w:rsidRDefault="00B23452" w:rsidP="00A40EDC">
      <w:pPr>
        <w:spacing w:before="59" w:after="0" w:line="297" w:lineRule="auto"/>
        <w:ind w:left="864" w:right="82" w:hanging="864"/>
        <w:rPr>
          <w:rFonts w:ascii="Times New Roman" w:eastAsia="Times New Roman" w:hAnsi="Times New Roman" w:cs="Times New Roman"/>
        </w:rPr>
      </w:pPr>
      <w:r w:rsidRPr="00A40EDC">
        <w:rPr>
          <w:rFonts w:ascii="Times New Roman" w:eastAsia="Times New Roman" w:hAnsi="Times New Roman" w:cs="Times New Roman"/>
        </w:rPr>
        <w:t>3</w:t>
      </w:r>
      <w:r w:rsidR="003D7D90" w:rsidRPr="00A40EDC">
        <w:rPr>
          <w:rFonts w:ascii="Times New Roman" w:eastAsia="Times New Roman" w:hAnsi="Times New Roman" w:cs="Times New Roman"/>
        </w:rPr>
        <w:t xml:space="preserve">.  </w:t>
      </w:r>
      <w:r w:rsidR="003D7D90" w:rsidRPr="00A40EDC">
        <w:rPr>
          <w:rFonts w:ascii="Times New Roman" w:eastAsia="Times New Roman" w:hAnsi="Times New Roman" w:cs="Times New Roman"/>
          <w:spacing w:val="28"/>
        </w:rPr>
        <w:t xml:space="preserve"> </w:t>
      </w:r>
      <w:r w:rsidR="003D7D90" w:rsidRPr="00A40EDC">
        <w:rPr>
          <w:rFonts w:ascii="Times New Roman" w:eastAsia="Times New Roman" w:hAnsi="Times New Roman" w:cs="Times New Roman"/>
        </w:rPr>
        <w:t>Building</w:t>
      </w:r>
      <w:r w:rsidR="00E87F11" w:rsidRPr="00A40EDC">
        <w:rPr>
          <w:rFonts w:ascii="Times New Roman" w:eastAsia="Times New Roman" w:hAnsi="Times New Roman" w:cs="Times New Roman"/>
        </w:rPr>
        <w:t xml:space="preserve"> </w:t>
      </w:r>
      <w:r w:rsidR="003D7D90" w:rsidRPr="00A40EDC">
        <w:rPr>
          <w:rFonts w:ascii="Times New Roman" w:eastAsia="Times New Roman" w:hAnsi="Times New Roman" w:cs="Times New Roman"/>
        </w:rPr>
        <w:t>EQ</w:t>
      </w:r>
      <w:r w:rsidR="003D7D90" w:rsidRPr="00A40EDC">
        <w:rPr>
          <w:rFonts w:ascii="Times New Roman" w:eastAsia="Times New Roman" w:hAnsi="Times New Roman" w:cs="Times New Roman"/>
          <w:spacing w:val="-12"/>
        </w:rPr>
        <w:t xml:space="preserve"> </w:t>
      </w:r>
      <w:proofErr w:type="spellStart"/>
      <w:r w:rsidR="003D7D90" w:rsidRPr="00A40EDC">
        <w:rPr>
          <w:rFonts w:ascii="Times New Roman" w:eastAsia="Times New Roman" w:hAnsi="Times New Roman" w:cs="Times New Roman"/>
        </w:rPr>
        <w:t>bEQ</w:t>
      </w:r>
      <w:proofErr w:type="spellEnd"/>
      <w:r w:rsidR="003D7D90" w:rsidRPr="00A40EDC">
        <w:rPr>
          <w:rFonts w:ascii="Times New Roman" w:eastAsia="Times New Roman" w:hAnsi="Times New Roman" w:cs="Times New Roman"/>
        </w:rPr>
        <w:t xml:space="preserve"> Update</w:t>
      </w:r>
      <w:r w:rsidRPr="00A40EDC">
        <w:rPr>
          <w:rFonts w:ascii="Times New Roman" w:eastAsia="Times New Roman" w:hAnsi="Times New Roman" w:cs="Times New Roman"/>
        </w:rPr>
        <w:t xml:space="preserve"> – on ASHRAE website</w:t>
      </w:r>
    </w:p>
    <w:p w:rsidR="003D7D90" w:rsidRPr="00A40EDC" w:rsidRDefault="00B23452" w:rsidP="00A40EDC">
      <w:pPr>
        <w:widowControl/>
        <w:spacing w:afterLines="20" w:after="48" w:line="240" w:lineRule="auto"/>
        <w:ind w:left="540" w:hanging="540"/>
        <w:rPr>
          <w:rFonts w:ascii="Times New Roman" w:hAnsi="Times New Roman" w:cs="Times New Roman"/>
        </w:rPr>
      </w:pPr>
      <w:r w:rsidRPr="00A40EDC">
        <w:rPr>
          <w:rFonts w:ascii="Times New Roman" w:eastAsia="Times New Roman" w:hAnsi="Times New Roman" w:cs="Times New Roman"/>
          <w:spacing w:val="1"/>
        </w:rPr>
        <w:t>4</w:t>
      </w:r>
      <w:r w:rsidR="003D7D90" w:rsidRPr="00A40EDC">
        <w:rPr>
          <w:rFonts w:ascii="Times New Roman" w:eastAsia="Times New Roman" w:hAnsi="Times New Roman" w:cs="Times New Roman"/>
        </w:rPr>
        <w:t xml:space="preserve">.  </w:t>
      </w:r>
      <w:r w:rsidR="003D7D90" w:rsidRPr="00A40EDC">
        <w:rPr>
          <w:rFonts w:ascii="Times New Roman" w:eastAsia="Times New Roman" w:hAnsi="Times New Roman" w:cs="Times New Roman"/>
          <w:spacing w:val="28"/>
        </w:rPr>
        <w:t xml:space="preserve"> </w:t>
      </w:r>
      <w:r w:rsidR="003D7D90" w:rsidRPr="00A40EDC">
        <w:rPr>
          <w:rFonts w:ascii="Times New Roman" w:hAnsi="Times New Roman" w:cs="Times New Roman"/>
        </w:rPr>
        <w:t xml:space="preserve">DASH – Bruce </w:t>
      </w:r>
      <w:proofErr w:type="spellStart"/>
      <w:r w:rsidR="003D7D90" w:rsidRPr="00A40EDC">
        <w:rPr>
          <w:rFonts w:ascii="Times New Roman" w:hAnsi="Times New Roman" w:cs="Times New Roman"/>
        </w:rPr>
        <w:t>Hunn</w:t>
      </w:r>
      <w:proofErr w:type="spellEnd"/>
    </w:p>
    <w:p w:rsidR="00B23452" w:rsidRPr="00B23452" w:rsidRDefault="00B23452" w:rsidP="00B23452">
      <w:pPr>
        <w:widowControl/>
        <w:numPr>
          <w:ilvl w:val="1"/>
          <w:numId w:val="1"/>
        </w:numPr>
        <w:tabs>
          <w:tab w:val="clear" w:pos="3081"/>
        </w:tabs>
        <w:spacing w:afterLines="20" w:after="48" w:line="240" w:lineRule="auto"/>
        <w:ind w:left="1620" w:hanging="432"/>
        <w:rPr>
          <w:rFonts w:ascii="Times New Roman" w:eastAsia="Times New Roman" w:hAnsi="Times New Roman" w:cs="Times New Roman"/>
        </w:rPr>
      </w:pPr>
      <w:r w:rsidRPr="00B23452">
        <w:rPr>
          <w:rFonts w:ascii="Times New Roman" w:eastAsia="Times New Roman" w:hAnsi="Times New Roman" w:cs="Times New Roman"/>
          <w:color w:val="000000"/>
        </w:rPr>
        <w:t>We be conven</w:t>
      </w:r>
      <w:r w:rsidR="00A40EDC" w:rsidRPr="00A40EDC">
        <w:rPr>
          <w:rFonts w:ascii="Times New Roman" w:eastAsia="Times New Roman" w:hAnsi="Times New Roman" w:cs="Times New Roman"/>
          <w:color w:val="000000"/>
        </w:rPr>
        <w:t>ed</w:t>
      </w:r>
      <w:r w:rsidRPr="00B23452">
        <w:rPr>
          <w:rFonts w:ascii="Times New Roman" w:eastAsia="Times New Roman" w:hAnsi="Times New Roman" w:cs="Times New Roman"/>
          <w:color w:val="000000"/>
        </w:rPr>
        <w:t xml:space="preserve"> with Aurora </w:t>
      </w:r>
      <w:proofErr w:type="spellStart"/>
      <w:r w:rsidRPr="00B23452">
        <w:rPr>
          <w:rFonts w:ascii="Times New Roman" w:eastAsia="Times New Roman" w:hAnsi="Times New Roman" w:cs="Times New Roman"/>
          <w:color w:val="000000"/>
        </w:rPr>
        <w:t>Sharrard</w:t>
      </w:r>
      <w:proofErr w:type="spellEnd"/>
      <w:r w:rsidRPr="00B23452">
        <w:rPr>
          <w:rFonts w:ascii="Times New Roman" w:eastAsia="Times New Roman" w:hAnsi="Times New Roman" w:cs="Times New Roman"/>
          <w:color w:val="000000"/>
        </w:rPr>
        <w:t xml:space="preserve"> of the Green Building Alliance, who is managing the development of DASH and its alpha testing </w:t>
      </w:r>
    </w:p>
    <w:p w:rsidR="00B23452" w:rsidRPr="00B23452" w:rsidRDefault="00B23452" w:rsidP="00B23452">
      <w:pPr>
        <w:widowControl/>
        <w:numPr>
          <w:ilvl w:val="1"/>
          <w:numId w:val="1"/>
        </w:numPr>
        <w:tabs>
          <w:tab w:val="clear" w:pos="3081"/>
        </w:tabs>
        <w:spacing w:afterLines="20" w:after="48" w:line="240" w:lineRule="auto"/>
        <w:ind w:left="1620" w:hanging="432"/>
        <w:rPr>
          <w:rFonts w:ascii="Times New Roman" w:eastAsia="Times New Roman" w:hAnsi="Times New Roman" w:cs="Times New Roman"/>
        </w:rPr>
      </w:pPr>
      <w:r w:rsidRPr="00B23452">
        <w:rPr>
          <w:rFonts w:ascii="Times New Roman" w:eastAsia="Times New Roman" w:hAnsi="Times New Roman" w:cs="Times New Roman"/>
          <w:color w:val="000000"/>
        </w:rPr>
        <w:t xml:space="preserve">She also </w:t>
      </w:r>
      <w:r w:rsidR="00A40EDC" w:rsidRPr="00A40EDC">
        <w:rPr>
          <w:rFonts w:ascii="Times New Roman" w:eastAsia="Times New Roman" w:hAnsi="Times New Roman" w:cs="Times New Roman"/>
          <w:color w:val="000000"/>
        </w:rPr>
        <w:t>gave</w:t>
      </w:r>
      <w:r w:rsidRPr="00B23452">
        <w:rPr>
          <w:rFonts w:ascii="Times New Roman" w:eastAsia="Times New Roman" w:hAnsi="Times New Roman" w:cs="Times New Roman"/>
          <w:color w:val="000000"/>
        </w:rPr>
        <w:t xml:space="preserve"> a presentation on DASH in Seminar 7 on Sunday from 1:30-3:00).  </w:t>
      </w:r>
    </w:p>
    <w:p w:rsidR="00B23452" w:rsidRPr="00A40EDC" w:rsidRDefault="00A40EDC" w:rsidP="00B23452">
      <w:pPr>
        <w:widowControl/>
        <w:numPr>
          <w:ilvl w:val="1"/>
          <w:numId w:val="1"/>
        </w:numPr>
        <w:tabs>
          <w:tab w:val="clear" w:pos="3081"/>
        </w:tabs>
        <w:spacing w:afterLines="20" w:after="48" w:line="240" w:lineRule="auto"/>
        <w:ind w:left="1620" w:hanging="432"/>
        <w:rPr>
          <w:rFonts w:ascii="Times New Roman" w:eastAsia="Times New Roman" w:hAnsi="Times New Roman" w:cs="Times New Roman"/>
        </w:rPr>
      </w:pPr>
      <w:r w:rsidRPr="00A40EDC">
        <w:rPr>
          <w:rFonts w:ascii="Times New Roman" w:eastAsia="Times New Roman" w:hAnsi="Times New Roman" w:cs="Times New Roman"/>
          <w:color w:val="000000"/>
        </w:rPr>
        <w:t>We had</w:t>
      </w:r>
      <w:r w:rsidR="00B23452" w:rsidRPr="00B23452">
        <w:rPr>
          <w:rFonts w:ascii="Times New Roman" w:eastAsia="Times New Roman" w:hAnsi="Times New Roman" w:cs="Times New Roman"/>
          <w:bCs/>
          <w:color w:val="000000"/>
        </w:rPr>
        <w:t xml:space="preserve"> the DASH Working Group meeting in the same room following that subcommittee meeting</w:t>
      </w:r>
      <w:r w:rsidR="00B23452" w:rsidRPr="00B23452">
        <w:rPr>
          <w:rFonts w:ascii="Times New Roman" w:eastAsia="Times New Roman" w:hAnsi="Times New Roman" w:cs="Times New Roman"/>
          <w:color w:val="000000"/>
        </w:rPr>
        <w:t xml:space="preserve">. </w:t>
      </w:r>
    </w:p>
    <w:p w:rsidR="00A40EDC" w:rsidRPr="00A40EDC" w:rsidRDefault="00A40EDC" w:rsidP="00A40EDC">
      <w:pPr>
        <w:widowControl/>
        <w:numPr>
          <w:ilvl w:val="0"/>
          <w:numId w:val="1"/>
        </w:numPr>
        <w:tabs>
          <w:tab w:val="clear" w:pos="2721"/>
          <w:tab w:val="num" w:pos="360"/>
        </w:tabs>
        <w:spacing w:afterLines="20" w:after="48" w:line="240" w:lineRule="auto"/>
        <w:ind w:left="360" w:hanging="360"/>
        <w:rPr>
          <w:rFonts w:ascii="Times New Roman" w:hAnsi="Times New Roman" w:cs="Times New Roman"/>
        </w:rPr>
      </w:pPr>
      <w:r w:rsidRPr="00A40EDC">
        <w:rPr>
          <w:rFonts w:ascii="Times New Roman" w:eastAsia="Times New Roman" w:hAnsi="Times New Roman" w:cs="Times New Roman"/>
        </w:rPr>
        <w:t xml:space="preserve">5. </w:t>
      </w:r>
      <w:r w:rsidRPr="00A40EDC">
        <w:rPr>
          <w:rFonts w:ascii="Times New Roman" w:hAnsi="Times New Roman" w:cs="Times New Roman"/>
        </w:rPr>
        <w:t xml:space="preserve">Superior Energy Performance – beta testing continues.  </w:t>
      </w:r>
    </w:p>
    <w:p w:rsidR="00A40EDC" w:rsidRPr="00A40EDC" w:rsidRDefault="00A40EDC" w:rsidP="00A40EDC">
      <w:pPr>
        <w:pStyle w:val="msolistparagraph0"/>
        <w:numPr>
          <w:ilvl w:val="0"/>
          <w:numId w:val="1"/>
        </w:numPr>
        <w:tabs>
          <w:tab w:val="clear" w:pos="2721"/>
          <w:tab w:val="num" w:pos="360"/>
          <w:tab w:val="num" w:pos="1080"/>
        </w:tabs>
        <w:ind w:left="360" w:hanging="360"/>
        <w:rPr>
          <w:rFonts w:ascii="Times New Roman" w:hAnsi="Times New Roman"/>
        </w:rPr>
      </w:pPr>
      <w:r w:rsidRPr="00A40EDC">
        <w:rPr>
          <w:rFonts w:ascii="Times New Roman" w:hAnsi="Times New Roman"/>
        </w:rPr>
        <w:t>Standards and Guidelines:</w:t>
      </w:r>
    </w:p>
    <w:p w:rsidR="00A40EDC" w:rsidRPr="00A40EDC" w:rsidRDefault="00A40EDC" w:rsidP="00A40EDC">
      <w:pPr>
        <w:pStyle w:val="msolistparagraph0"/>
        <w:numPr>
          <w:ilvl w:val="1"/>
          <w:numId w:val="1"/>
        </w:numPr>
        <w:tabs>
          <w:tab w:val="clear" w:pos="3081"/>
          <w:tab w:val="num" w:pos="720"/>
          <w:tab w:val="num" w:pos="1440"/>
        </w:tabs>
        <w:ind w:left="360" w:firstLine="0"/>
        <w:rPr>
          <w:rFonts w:ascii="Times New Roman" w:hAnsi="Times New Roman"/>
        </w:rPr>
      </w:pPr>
      <w:r w:rsidRPr="00A40EDC">
        <w:rPr>
          <w:rFonts w:ascii="Times New Roman" w:hAnsi="Times New Roman"/>
        </w:rPr>
        <w:t xml:space="preserve">90.1 </w:t>
      </w:r>
      <w:proofErr w:type="gramStart"/>
      <w:r w:rsidRPr="00A40EDC">
        <w:rPr>
          <w:rFonts w:ascii="Times New Roman" w:hAnsi="Times New Roman"/>
        </w:rPr>
        <w:t>or</w:t>
      </w:r>
      <w:proofErr w:type="gramEnd"/>
      <w:r w:rsidRPr="00A40EDC">
        <w:rPr>
          <w:rFonts w:ascii="Times New Roman" w:hAnsi="Times New Roman"/>
        </w:rPr>
        <w:t xml:space="preserve"> 90.2 issues</w:t>
      </w:r>
      <w:r w:rsidRPr="00A40EDC">
        <w:rPr>
          <w:rFonts w:ascii="Times New Roman" w:hAnsi="Times New Roman"/>
        </w:rPr>
        <w:t>.</w:t>
      </w:r>
    </w:p>
    <w:p w:rsidR="00A40EDC" w:rsidRPr="00A40EDC" w:rsidRDefault="00A40EDC" w:rsidP="00A40EDC">
      <w:pPr>
        <w:pStyle w:val="msolistparagraph0"/>
        <w:numPr>
          <w:ilvl w:val="1"/>
          <w:numId w:val="1"/>
        </w:numPr>
        <w:tabs>
          <w:tab w:val="clear" w:pos="3081"/>
          <w:tab w:val="num" w:pos="720"/>
          <w:tab w:val="num" w:pos="1440"/>
        </w:tabs>
        <w:ind w:left="360" w:firstLine="0"/>
        <w:rPr>
          <w:rFonts w:ascii="Times New Roman" w:hAnsi="Times New Roman"/>
        </w:rPr>
      </w:pPr>
      <w:r w:rsidRPr="00A40EDC">
        <w:rPr>
          <w:rFonts w:ascii="Times New Roman" w:hAnsi="Times New Roman"/>
        </w:rPr>
        <w:t xml:space="preserve">62.1 </w:t>
      </w:r>
      <w:proofErr w:type="gramStart"/>
      <w:r w:rsidRPr="00A40EDC">
        <w:rPr>
          <w:rFonts w:ascii="Times New Roman" w:hAnsi="Times New Roman"/>
        </w:rPr>
        <w:t>or</w:t>
      </w:r>
      <w:proofErr w:type="gramEnd"/>
      <w:r w:rsidRPr="00A40EDC">
        <w:rPr>
          <w:rFonts w:ascii="Times New Roman" w:hAnsi="Times New Roman"/>
        </w:rPr>
        <w:t xml:space="preserve"> 62.2 issues</w:t>
      </w:r>
      <w:r w:rsidRPr="00A40EDC">
        <w:rPr>
          <w:rFonts w:ascii="Times New Roman" w:hAnsi="Times New Roman"/>
        </w:rPr>
        <w:t>.</w:t>
      </w:r>
      <w:r w:rsidRPr="00A40EDC">
        <w:rPr>
          <w:rFonts w:ascii="Times New Roman" w:hAnsi="Times New Roman"/>
        </w:rPr>
        <w:tab/>
      </w:r>
    </w:p>
    <w:p w:rsidR="00A40EDC" w:rsidRPr="00A40EDC" w:rsidRDefault="00A40EDC" w:rsidP="00A40EDC">
      <w:pPr>
        <w:pStyle w:val="msolistparagraph0"/>
        <w:numPr>
          <w:ilvl w:val="1"/>
          <w:numId w:val="1"/>
        </w:numPr>
        <w:tabs>
          <w:tab w:val="clear" w:pos="3081"/>
          <w:tab w:val="num" w:pos="720"/>
          <w:tab w:val="num" w:pos="1440"/>
        </w:tabs>
        <w:ind w:left="360" w:firstLine="0"/>
        <w:rPr>
          <w:rFonts w:ascii="Times New Roman" w:hAnsi="Times New Roman"/>
        </w:rPr>
      </w:pPr>
      <w:r w:rsidRPr="00A40EDC">
        <w:rPr>
          <w:rFonts w:ascii="Times New Roman" w:hAnsi="Times New Roman"/>
        </w:rPr>
        <w:t>Small residential Energy Audit Standards ACCA-12 (2011) and BPI-1100-T-2012</w:t>
      </w:r>
    </w:p>
    <w:p w:rsidR="00A40EDC" w:rsidRPr="00A40EDC" w:rsidRDefault="00A40EDC" w:rsidP="00A40EDC">
      <w:pPr>
        <w:pStyle w:val="msolistparagraph0"/>
        <w:numPr>
          <w:ilvl w:val="1"/>
          <w:numId w:val="1"/>
        </w:numPr>
        <w:tabs>
          <w:tab w:val="clear" w:pos="3081"/>
          <w:tab w:val="num" w:pos="720"/>
          <w:tab w:val="num" w:pos="1440"/>
        </w:tabs>
        <w:ind w:left="360" w:firstLine="0"/>
        <w:rPr>
          <w:rFonts w:ascii="Times New Roman" w:hAnsi="Times New Roman"/>
        </w:rPr>
      </w:pPr>
      <w:r w:rsidRPr="00A40EDC">
        <w:rPr>
          <w:rFonts w:ascii="Times New Roman" w:hAnsi="Times New Roman"/>
        </w:rPr>
        <w:t xml:space="preserve">BPI is planning to release the first public review draft of BPI 1105, </w:t>
      </w:r>
      <w:r w:rsidRPr="00A40EDC">
        <w:rPr>
          <w:rFonts w:ascii="Times New Roman" w:hAnsi="Times New Roman"/>
          <w:i/>
          <w:iCs/>
        </w:rPr>
        <w:t>Standard Practice for Multifamily Building Energy Auditing</w:t>
      </w:r>
      <w:r w:rsidRPr="00A40EDC">
        <w:rPr>
          <w:rFonts w:ascii="Times New Roman" w:hAnsi="Times New Roman"/>
        </w:rPr>
        <w:t>, in late June or early July for comment.</w:t>
      </w:r>
    </w:p>
    <w:p w:rsidR="00A40EDC" w:rsidRPr="00A40EDC" w:rsidRDefault="00A40EDC" w:rsidP="00A40EDC">
      <w:pPr>
        <w:pStyle w:val="msolistparagraph0"/>
        <w:numPr>
          <w:ilvl w:val="1"/>
          <w:numId w:val="1"/>
        </w:numPr>
        <w:tabs>
          <w:tab w:val="clear" w:pos="3081"/>
          <w:tab w:val="num" w:pos="720"/>
          <w:tab w:val="num" w:pos="1440"/>
        </w:tabs>
        <w:ind w:left="360" w:firstLine="0"/>
        <w:rPr>
          <w:rFonts w:ascii="Times New Roman" w:hAnsi="Times New Roman"/>
        </w:rPr>
      </w:pPr>
      <w:r w:rsidRPr="00A40EDC">
        <w:rPr>
          <w:rFonts w:ascii="Times New Roman" w:hAnsi="Times New Roman"/>
        </w:rPr>
        <w:t xml:space="preserve">ORNL is planning to release ORNL-0270, </w:t>
      </w:r>
      <w:r w:rsidRPr="00A40EDC">
        <w:rPr>
          <w:rFonts w:ascii="Times New Roman" w:hAnsi="Times New Roman"/>
          <w:i/>
          <w:iCs/>
        </w:rPr>
        <w:t>Technical Guidelines for Multifamily Building Energy Audits</w:t>
      </w:r>
      <w:r w:rsidRPr="00A40EDC">
        <w:rPr>
          <w:rFonts w:ascii="Times New Roman" w:hAnsi="Times New Roman"/>
        </w:rPr>
        <w:t>, in September, for DOE (will have some implications for commercial audit guidelines, e.g., is the “Green Book” good enough?)</w:t>
      </w:r>
    </w:p>
    <w:p w:rsidR="00A40EDC" w:rsidRPr="00A40EDC" w:rsidRDefault="00A40EDC" w:rsidP="00A40EDC">
      <w:pPr>
        <w:pStyle w:val="msolistparagraph0"/>
        <w:numPr>
          <w:ilvl w:val="0"/>
          <w:numId w:val="1"/>
        </w:numPr>
        <w:tabs>
          <w:tab w:val="clear" w:pos="2721"/>
          <w:tab w:val="num" w:pos="360"/>
          <w:tab w:val="num" w:pos="1080"/>
        </w:tabs>
        <w:ind w:left="360" w:hanging="360"/>
        <w:rPr>
          <w:rFonts w:ascii="Times New Roman" w:hAnsi="Times New Roman"/>
        </w:rPr>
      </w:pPr>
      <w:r w:rsidRPr="00A40EDC">
        <w:rPr>
          <w:rFonts w:ascii="Times New Roman" w:hAnsi="Times New Roman"/>
        </w:rPr>
        <w:t>NYC energy benchmarking and reporting update</w:t>
      </w:r>
      <w:r w:rsidRPr="00A40EDC">
        <w:rPr>
          <w:rFonts w:ascii="Times New Roman" w:hAnsi="Times New Roman"/>
        </w:rPr>
        <w:t>.</w:t>
      </w:r>
    </w:p>
    <w:p w:rsidR="00A40EDC" w:rsidRPr="00A40EDC" w:rsidRDefault="00A40EDC" w:rsidP="00A40EDC">
      <w:pPr>
        <w:pStyle w:val="msolistparagraph0"/>
        <w:numPr>
          <w:ilvl w:val="0"/>
          <w:numId w:val="1"/>
        </w:numPr>
        <w:tabs>
          <w:tab w:val="clear" w:pos="2721"/>
          <w:tab w:val="num" w:pos="360"/>
          <w:tab w:val="num" w:pos="1080"/>
        </w:tabs>
        <w:ind w:left="360" w:hanging="360"/>
        <w:rPr>
          <w:rFonts w:ascii="Times New Roman" w:hAnsi="Times New Roman"/>
        </w:rPr>
      </w:pPr>
      <w:r w:rsidRPr="00A40EDC">
        <w:rPr>
          <w:rFonts w:ascii="Times New Roman" w:hAnsi="Times New Roman"/>
        </w:rPr>
        <w:t>Seattle, San Fran, Philly, and DC benchmarking updates</w:t>
      </w:r>
      <w:r w:rsidRPr="00A40EDC">
        <w:rPr>
          <w:rFonts w:ascii="Times New Roman" w:hAnsi="Times New Roman"/>
        </w:rPr>
        <w:t xml:space="preserve">. Chicago data available – </w:t>
      </w:r>
      <w:proofErr w:type="spellStart"/>
      <w:r w:rsidRPr="00A40EDC">
        <w:rPr>
          <w:rFonts w:ascii="Times New Roman" w:hAnsi="Times New Roman"/>
        </w:rPr>
        <w:t>google</w:t>
      </w:r>
      <w:proofErr w:type="spellEnd"/>
      <w:r w:rsidRPr="00A40EDC">
        <w:rPr>
          <w:rFonts w:ascii="Times New Roman" w:hAnsi="Times New Roman"/>
        </w:rPr>
        <w:t xml:space="preserve"> “City of Chicago Energy Data”</w:t>
      </w:r>
    </w:p>
    <w:p w:rsidR="00A40EDC" w:rsidRPr="00A40EDC" w:rsidRDefault="00A40EDC" w:rsidP="00A40EDC">
      <w:pPr>
        <w:pStyle w:val="msolistparagraph0"/>
        <w:numPr>
          <w:ilvl w:val="0"/>
          <w:numId w:val="1"/>
        </w:numPr>
        <w:tabs>
          <w:tab w:val="clear" w:pos="2721"/>
          <w:tab w:val="num" w:pos="360"/>
          <w:tab w:val="num" w:pos="1080"/>
        </w:tabs>
        <w:ind w:left="360" w:hanging="360"/>
        <w:rPr>
          <w:rFonts w:ascii="Times New Roman" w:hAnsi="Times New Roman"/>
        </w:rPr>
      </w:pPr>
      <w:r w:rsidRPr="00A40EDC">
        <w:rPr>
          <w:rFonts w:ascii="Times New Roman" w:hAnsi="Times New Roman"/>
        </w:rPr>
        <w:t xml:space="preserve">The Real Property Association of Canada has released a “2010 Energy Benchmarking Report” on office buildings in Canada. </w:t>
      </w:r>
      <w:hyperlink r:id="rId6" w:history="1">
        <w:r w:rsidRPr="00A40EDC">
          <w:rPr>
            <w:rStyle w:val="Hyperlink"/>
            <w:rFonts w:ascii="Times New Roman" w:hAnsi="Times New Roman"/>
          </w:rPr>
          <w:t>http://c.ymcdn.com/sites/www.realpac.ca/resource/resmgr/energy_benchmarking/rpbenchmarkingreportsp05c.pdf</w:t>
        </w:r>
      </w:hyperlink>
      <w:r w:rsidRPr="00A40EDC">
        <w:rPr>
          <w:rFonts w:ascii="Times New Roman" w:hAnsi="Times New Roman"/>
        </w:rPr>
        <w:t xml:space="preserve"> </w:t>
      </w:r>
      <w:r w:rsidRPr="00A40EDC">
        <w:rPr>
          <w:rFonts w:ascii="Times New Roman" w:hAnsi="Times New Roman"/>
        </w:rPr>
        <w:t xml:space="preserve"> </w:t>
      </w:r>
    </w:p>
    <w:p w:rsidR="00A40EDC" w:rsidRPr="00A40EDC" w:rsidRDefault="00A40EDC" w:rsidP="00A40EDC">
      <w:pPr>
        <w:pStyle w:val="msolistparagraph0"/>
        <w:numPr>
          <w:ilvl w:val="0"/>
          <w:numId w:val="1"/>
        </w:numPr>
        <w:tabs>
          <w:tab w:val="clear" w:pos="2721"/>
          <w:tab w:val="num" w:pos="360"/>
          <w:tab w:val="num" w:pos="1080"/>
        </w:tabs>
        <w:ind w:left="360" w:hanging="360"/>
        <w:rPr>
          <w:rFonts w:ascii="Times New Roman" w:hAnsi="Times New Roman"/>
        </w:rPr>
      </w:pPr>
      <w:r w:rsidRPr="00A40EDC">
        <w:rPr>
          <w:rFonts w:ascii="Times New Roman" w:hAnsi="Times New Roman"/>
        </w:rPr>
        <w:t xml:space="preserve">2009 RECS now has end-use energy data estimates, and the </w:t>
      </w:r>
      <w:proofErr w:type="spellStart"/>
      <w:r w:rsidRPr="00A40EDC">
        <w:rPr>
          <w:rFonts w:ascii="Times New Roman" w:hAnsi="Times New Roman"/>
        </w:rPr>
        <w:t>microdata</w:t>
      </w:r>
      <w:proofErr w:type="spellEnd"/>
      <w:r w:rsidRPr="00A40EDC">
        <w:rPr>
          <w:rFonts w:ascii="Times New Roman" w:hAnsi="Times New Roman"/>
        </w:rPr>
        <w:t xml:space="preserve"> have been finalized as of January 2013</w:t>
      </w:r>
      <w:r w:rsidRPr="00A40EDC">
        <w:rPr>
          <w:rFonts w:ascii="Times New Roman" w:hAnsi="Times New Roman"/>
        </w:rPr>
        <w:t>.</w:t>
      </w:r>
    </w:p>
    <w:p w:rsidR="00A40EDC" w:rsidRPr="00A40EDC" w:rsidRDefault="00A40EDC" w:rsidP="00A40EDC">
      <w:pPr>
        <w:pStyle w:val="msolistparagraph0"/>
        <w:numPr>
          <w:ilvl w:val="0"/>
          <w:numId w:val="1"/>
        </w:numPr>
        <w:tabs>
          <w:tab w:val="clear" w:pos="2721"/>
          <w:tab w:val="num" w:pos="360"/>
          <w:tab w:val="num" w:pos="1080"/>
        </w:tabs>
        <w:ind w:left="360" w:hanging="360"/>
        <w:rPr>
          <w:rFonts w:ascii="Times New Roman" w:hAnsi="Times New Roman"/>
        </w:rPr>
      </w:pPr>
      <w:r w:rsidRPr="00A40EDC">
        <w:rPr>
          <w:rFonts w:ascii="Times New Roman" w:hAnsi="Times New Roman"/>
        </w:rPr>
        <w:t>Saudi Arabia is planning to develop a CBECS-type survey and data base to provide a foundation for understanding the building stock there and be able to assess potential benefits of renewable energy, as well as improve building energy codes</w:t>
      </w:r>
      <w:r w:rsidRPr="00A40EDC">
        <w:rPr>
          <w:rFonts w:ascii="Times New Roman" w:hAnsi="Times New Roman"/>
        </w:rPr>
        <w:t>.</w:t>
      </w:r>
    </w:p>
    <w:p w:rsidR="00A40EDC" w:rsidRPr="00A40EDC" w:rsidRDefault="00A40EDC" w:rsidP="00A40EDC">
      <w:pPr>
        <w:pStyle w:val="msolistparagraph0"/>
        <w:numPr>
          <w:ilvl w:val="0"/>
          <w:numId w:val="1"/>
        </w:numPr>
        <w:tabs>
          <w:tab w:val="clear" w:pos="2721"/>
          <w:tab w:val="num" w:pos="360"/>
          <w:tab w:val="num" w:pos="1080"/>
        </w:tabs>
        <w:ind w:left="360" w:hanging="360"/>
        <w:rPr>
          <w:rFonts w:ascii="Times New Roman" w:hAnsi="Times New Roman"/>
        </w:rPr>
      </w:pPr>
      <w:r w:rsidRPr="00A40EDC">
        <w:rPr>
          <w:rFonts w:ascii="Times New Roman" w:hAnsi="Times New Roman"/>
        </w:rPr>
        <w:t>China has been implementing several EE efforts and is scoring national results based on energy use to GDP index and individual industrial plant results based on energy targets for the plant.</w:t>
      </w:r>
    </w:p>
    <w:p w:rsidR="00A40EDC" w:rsidRPr="00A40EDC" w:rsidRDefault="00A40EDC" w:rsidP="00A40EDC">
      <w:pPr>
        <w:pStyle w:val="msolistparagraph0"/>
        <w:numPr>
          <w:ilvl w:val="0"/>
          <w:numId w:val="1"/>
        </w:numPr>
        <w:tabs>
          <w:tab w:val="clear" w:pos="2721"/>
          <w:tab w:val="num" w:pos="360"/>
          <w:tab w:val="num" w:pos="1080"/>
        </w:tabs>
        <w:ind w:left="360" w:hanging="360"/>
        <w:rPr>
          <w:rFonts w:ascii="Times New Roman" w:hAnsi="Times New Roman"/>
        </w:rPr>
      </w:pPr>
      <w:r w:rsidRPr="00A40EDC">
        <w:rPr>
          <w:rFonts w:ascii="Times New Roman" w:hAnsi="Times New Roman"/>
        </w:rPr>
        <w:t xml:space="preserve">The ECEEE Summer Study on energy efficiency supposedly occurred in early June at Club </w:t>
      </w:r>
      <w:proofErr w:type="spellStart"/>
      <w:r w:rsidRPr="00A40EDC">
        <w:rPr>
          <w:rFonts w:ascii="Times New Roman" w:hAnsi="Times New Roman"/>
        </w:rPr>
        <w:t>Belambra</w:t>
      </w:r>
      <w:proofErr w:type="spellEnd"/>
      <w:r w:rsidRPr="00A40EDC">
        <w:rPr>
          <w:rFonts w:ascii="Times New Roman" w:hAnsi="Times New Roman"/>
        </w:rPr>
        <w:t xml:space="preserve"> "Les </w:t>
      </w:r>
      <w:proofErr w:type="spellStart"/>
      <w:r w:rsidRPr="00A40EDC">
        <w:rPr>
          <w:rFonts w:ascii="Times New Roman" w:hAnsi="Times New Roman"/>
        </w:rPr>
        <w:t>Criques</w:t>
      </w:r>
      <w:proofErr w:type="spellEnd"/>
      <w:r w:rsidRPr="00A40EDC">
        <w:rPr>
          <w:rFonts w:ascii="Times New Roman" w:hAnsi="Times New Roman"/>
        </w:rPr>
        <w:t xml:space="preserve">" at </w:t>
      </w:r>
      <w:proofErr w:type="spellStart"/>
      <w:r w:rsidRPr="00A40EDC">
        <w:rPr>
          <w:rFonts w:ascii="Times New Roman" w:hAnsi="Times New Roman"/>
        </w:rPr>
        <w:t>Hyères</w:t>
      </w:r>
      <w:proofErr w:type="spellEnd"/>
      <w:r w:rsidRPr="00A40EDC">
        <w:rPr>
          <w:rFonts w:ascii="Times New Roman" w:hAnsi="Times New Roman"/>
        </w:rPr>
        <w:t xml:space="preserve"> France – anyone have any update?</w:t>
      </w:r>
    </w:p>
    <w:p w:rsidR="00A40EDC" w:rsidRPr="00A40EDC" w:rsidRDefault="00A40EDC" w:rsidP="00A40EDC">
      <w:pPr>
        <w:pStyle w:val="msolistparagraph0"/>
        <w:numPr>
          <w:ilvl w:val="0"/>
          <w:numId w:val="1"/>
        </w:numPr>
        <w:tabs>
          <w:tab w:val="clear" w:pos="2721"/>
          <w:tab w:val="num" w:pos="360"/>
        </w:tabs>
        <w:ind w:left="360" w:hanging="360"/>
        <w:rPr>
          <w:rFonts w:ascii="Times New Roman" w:hAnsi="Times New Roman"/>
        </w:rPr>
      </w:pPr>
      <w:r w:rsidRPr="00A40EDC">
        <w:rPr>
          <w:rFonts w:ascii="Times New Roman" w:hAnsi="Times New Roman"/>
        </w:rPr>
        <w:t xml:space="preserve">In Europe, the BPIE has launched a “Data Hub for the Energy Performance of Buildings” at:  http://www.buildingsdata.eu/ </w:t>
      </w:r>
    </w:p>
    <w:p w:rsidR="00A40EDC" w:rsidRPr="00A40EDC" w:rsidRDefault="00A40EDC" w:rsidP="00A40EDC">
      <w:pPr>
        <w:pStyle w:val="msolistparagraph0"/>
        <w:numPr>
          <w:ilvl w:val="0"/>
          <w:numId w:val="1"/>
        </w:numPr>
        <w:tabs>
          <w:tab w:val="clear" w:pos="2721"/>
          <w:tab w:val="num" w:pos="360"/>
        </w:tabs>
        <w:ind w:left="360" w:hanging="360"/>
        <w:rPr>
          <w:rFonts w:ascii="Times New Roman" w:hAnsi="Times New Roman"/>
        </w:rPr>
      </w:pPr>
      <w:r w:rsidRPr="00A40EDC">
        <w:rPr>
          <w:rFonts w:ascii="Times New Roman" w:hAnsi="Times New Roman"/>
        </w:rPr>
        <w:t xml:space="preserve">There is now a Global Buildings Performance Network (GBPN)  at:  http://www.gbpn.org/ </w:t>
      </w:r>
    </w:p>
    <w:p w:rsidR="00A40EDC" w:rsidRPr="00A40EDC" w:rsidRDefault="00A40EDC" w:rsidP="00A40EDC">
      <w:pPr>
        <w:pStyle w:val="msolistparagraph0"/>
        <w:numPr>
          <w:ilvl w:val="0"/>
          <w:numId w:val="1"/>
        </w:numPr>
        <w:tabs>
          <w:tab w:val="clear" w:pos="2721"/>
          <w:tab w:val="num" w:pos="360"/>
        </w:tabs>
        <w:ind w:left="360" w:hanging="360"/>
        <w:rPr>
          <w:rFonts w:ascii="Times New Roman" w:hAnsi="Times New Roman"/>
        </w:rPr>
      </w:pPr>
      <w:r w:rsidRPr="00A40EDC">
        <w:rPr>
          <w:rFonts w:ascii="Times New Roman" w:hAnsi="Times New Roman"/>
        </w:rPr>
        <w:lastRenderedPageBreak/>
        <w:t xml:space="preserve">The building energy rating </w:t>
      </w:r>
      <w:proofErr w:type="gramStart"/>
      <w:r w:rsidRPr="00A40EDC">
        <w:rPr>
          <w:rFonts w:ascii="Times New Roman" w:hAnsi="Times New Roman"/>
        </w:rPr>
        <w:t>entity  (</w:t>
      </w:r>
      <w:proofErr w:type="gramEnd"/>
      <w:r w:rsidRPr="00A40EDC">
        <w:rPr>
          <w:rFonts w:ascii="Times New Roman" w:hAnsi="Times New Roman"/>
        </w:rPr>
        <w:t>http://www.buildingrating.org/) is now supposedly a regional hub of the GBPN — the other data hub is the European one above, and somehow China and India are the other “regions”</w:t>
      </w:r>
      <w:r w:rsidRPr="00A40EDC">
        <w:rPr>
          <w:rFonts w:ascii="Times New Roman" w:hAnsi="Times New Roman"/>
        </w:rPr>
        <w:t>.</w:t>
      </w:r>
    </w:p>
    <w:p w:rsidR="00A40EDC" w:rsidRPr="00A40EDC" w:rsidRDefault="00A40EDC" w:rsidP="00A40EDC">
      <w:pPr>
        <w:pStyle w:val="msolistparagraph0"/>
        <w:numPr>
          <w:ilvl w:val="0"/>
          <w:numId w:val="1"/>
        </w:numPr>
        <w:tabs>
          <w:tab w:val="clear" w:pos="2721"/>
          <w:tab w:val="num" w:pos="360"/>
        </w:tabs>
        <w:ind w:left="360" w:hanging="360"/>
        <w:rPr>
          <w:rFonts w:ascii="Times New Roman" w:hAnsi="Times New Roman"/>
        </w:rPr>
      </w:pPr>
      <w:r w:rsidRPr="00A40EDC">
        <w:rPr>
          <w:rFonts w:ascii="Times New Roman" w:hAnsi="Times New Roman"/>
        </w:rPr>
        <w:t xml:space="preserve">Florida just repealed their Renewable Fuel Standard </w:t>
      </w:r>
    </w:p>
    <w:p w:rsidR="00A40EDC" w:rsidRPr="00A40EDC" w:rsidRDefault="00A40EDC" w:rsidP="00A40EDC">
      <w:pPr>
        <w:pStyle w:val="msolistparagraph0"/>
        <w:numPr>
          <w:ilvl w:val="0"/>
          <w:numId w:val="1"/>
        </w:numPr>
        <w:tabs>
          <w:tab w:val="clear" w:pos="2721"/>
          <w:tab w:val="num" w:pos="360"/>
        </w:tabs>
        <w:ind w:left="360" w:hanging="360"/>
        <w:rPr>
          <w:rFonts w:ascii="Times New Roman" w:hAnsi="Times New Roman"/>
        </w:rPr>
      </w:pPr>
      <w:r w:rsidRPr="00A40EDC">
        <w:rPr>
          <w:rFonts w:ascii="Times New Roman" w:hAnsi="Times New Roman"/>
        </w:rPr>
        <w:t>The European “buildings directive” was recast in 2010 [Energy Performance of Buildings Directive (EPBD, 2010/31/EU)] to require Member States to introduce minimum energy performance requirements for buildings, building elements and technical building systems, and set these requirements based on a cost-optimal methodology.  Methodology requirements have been promulga</w:t>
      </w:r>
      <w:bookmarkStart w:id="0" w:name="_GoBack"/>
      <w:bookmarkEnd w:id="0"/>
      <w:r w:rsidRPr="00A40EDC">
        <w:rPr>
          <w:rFonts w:ascii="Times New Roman" w:hAnsi="Times New Roman"/>
        </w:rPr>
        <w:t xml:space="preserve">ted, but they leave a wide degree of flexibility.  BPIE has now started reporting on cost-optimal methodologies and three reports are available at:  </w:t>
      </w:r>
      <w:hyperlink r:id="rId7" w:tooltip="blocked::http://bpie.eu/cost_optimal_methodology.html" w:history="1">
        <w:r w:rsidRPr="00A40EDC">
          <w:rPr>
            <w:rStyle w:val="Hyperlink"/>
            <w:rFonts w:ascii="Times New Roman" w:hAnsi="Times New Roman"/>
            <w:color w:val="0066FF"/>
          </w:rPr>
          <w:t>http://bpie.eu/cost_optimal_methodology.html</w:t>
        </w:r>
      </w:hyperlink>
      <w:r w:rsidRPr="00A40EDC">
        <w:rPr>
          <w:rFonts w:ascii="Times New Roman" w:hAnsi="Times New Roman"/>
        </w:rPr>
        <w:t xml:space="preserve"> </w:t>
      </w:r>
    </w:p>
    <w:p w:rsidR="00A40EDC" w:rsidRPr="00A40EDC" w:rsidRDefault="00A40EDC" w:rsidP="00A40EDC">
      <w:pPr>
        <w:pStyle w:val="msolistparagraph0"/>
        <w:numPr>
          <w:ilvl w:val="0"/>
          <w:numId w:val="1"/>
        </w:numPr>
        <w:tabs>
          <w:tab w:val="clear" w:pos="2721"/>
          <w:tab w:val="num" w:pos="360"/>
        </w:tabs>
        <w:ind w:left="360" w:hanging="360"/>
        <w:rPr>
          <w:rFonts w:ascii="Times New Roman" w:hAnsi="Times New Roman"/>
        </w:rPr>
      </w:pPr>
      <w:r w:rsidRPr="00A40EDC">
        <w:rPr>
          <w:rFonts w:ascii="Times New Roman" w:hAnsi="Times New Roman"/>
        </w:rPr>
        <w:t>US oil and gas production is soaring.  President Obama has proposed an “energy security trust” that will be aimed at burning more natural gas to displace coal and oil, while federal regulations currently lead to huge flaring of natural gas in North Dakota instead of delivering the gas for end use.</w:t>
      </w:r>
    </w:p>
    <w:p w:rsidR="00A40EDC" w:rsidRPr="00A40EDC" w:rsidRDefault="00A40EDC" w:rsidP="00A40EDC">
      <w:pPr>
        <w:pStyle w:val="msolistparagraph0"/>
        <w:numPr>
          <w:ilvl w:val="0"/>
          <w:numId w:val="1"/>
        </w:numPr>
        <w:tabs>
          <w:tab w:val="clear" w:pos="2721"/>
          <w:tab w:val="num" w:pos="360"/>
        </w:tabs>
        <w:ind w:left="360" w:hanging="360"/>
        <w:rPr>
          <w:rFonts w:ascii="Times New Roman" w:hAnsi="Times New Roman"/>
        </w:rPr>
      </w:pPr>
      <w:r w:rsidRPr="00A40EDC">
        <w:rPr>
          <w:rFonts w:ascii="Times New Roman" w:hAnsi="Times New Roman"/>
        </w:rPr>
        <w:t>ORNL report on multifamily energy audits issued - the report number is ORNL-0297.</w:t>
      </w:r>
    </w:p>
    <w:p w:rsidR="00A40EDC" w:rsidRPr="00A40EDC" w:rsidRDefault="00A40EDC" w:rsidP="00A40EDC">
      <w:pPr>
        <w:pStyle w:val="msolistparagraph0"/>
        <w:numPr>
          <w:ilvl w:val="0"/>
          <w:numId w:val="1"/>
        </w:numPr>
        <w:tabs>
          <w:tab w:val="clear" w:pos="2721"/>
          <w:tab w:val="num" w:pos="360"/>
        </w:tabs>
        <w:ind w:left="360" w:hanging="360"/>
        <w:rPr>
          <w:rFonts w:ascii="Times New Roman" w:hAnsi="Times New Roman"/>
        </w:rPr>
      </w:pPr>
      <w:r w:rsidRPr="00A40EDC">
        <w:rPr>
          <w:rFonts w:ascii="Times New Roman" w:hAnsi="Times New Roman"/>
        </w:rPr>
        <w:t>ANSI EESCC Begins Development of Energy Efficiency Standardization Roadmap</w:t>
      </w:r>
      <w:r w:rsidRPr="00A40EDC">
        <w:rPr>
          <w:rFonts w:ascii="Times New Roman" w:hAnsi="Times New Roman"/>
        </w:rPr>
        <w:br/>
        <w:t xml:space="preserve">Working Groups </w:t>
      </w:r>
      <w:hyperlink r:id="rId8" w:anchor=".UcRx0dg5MuC" w:history="1">
        <w:r w:rsidRPr="00A40EDC">
          <w:rPr>
            <w:rStyle w:val="Hyperlink"/>
            <w:rFonts w:ascii="Times New Roman" w:hAnsi="Times New Roman"/>
          </w:rPr>
          <w:t>June-July Workshop</w:t>
        </w:r>
        <w:r w:rsidRPr="00A40EDC">
          <w:rPr>
            <w:rStyle w:val="Hyperlink"/>
            <w:rFonts w:ascii="Times New Roman" w:hAnsi="Times New Roman"/>
          </w:rPr>
          <w:t>s</w:t>
        </w:r>
        <w:r w:rsidRPr="00A40EDC">
          <w:rPr>
            <w:rStyle w:val="Hyperlink"/>
            <w:rFonts w:ascii="Times New Roman" w:hAnsi="Times New Roman"/>
          </w:rPr>
          <w:t xml:space="preserve"> in Washington, DC</w:t>
        </w:r>
      </w:hyperlink>
      <w:r w:rsidRPr="00A40EDC">
        <w:rPr>
          <w:rFonts w:ascii="Times New Roman" w:hAnsi="Times New Roman"/>
        </w:rPr>
        <w:t>; Stakeholder Organizations Invited to Join the EESCC’s Effort, New York  May 15, 2013</w:t>
      </w:r>
    </w:p>
    <w:p w:rsidR="00A40EDC" w:rsidRPr="00A40EDC" w:rsidRDefault="00A40EDC" w:rsidP="00A40EDC">
      <w:pPr>
        <w:pStyle w:val="msolistparagraph0"/>
        <w:numPr>
          <w:ilvl w:val="0"/>
          <w:numId w:val="1"/>
        </w:numPr>
        <w:tabs>
          <w:tab w:val="clear" w:pos="2721"/>
          <w:tab w:val="num" w:pos="360"/>
        </w:tabs>
        <w:ind w:left="360" w:hanging="360"/>
        <w:rPr>
          <w:rFonts w:ascii="Times New Roman" w:hAnsi="Times New Roman"/>
        </w:rPr>
      </w:pPr>
      <w:r w:rsidRPr="00A40EDC">
        <w:rPr>
          <w:rFonts w:ascii="Times New Roman" w:hAnsi="Times New Roman"/>
        </w:rPr>
        <w:t>Other new business.</w:t>
      </w:r>
    </w:p>
    <w:p w:rsidR="00A40EDC" w:rsidRPr="00A40EDC" w:rsidRDefault="00A40EDC" w:rsidP="00A40EDC">
      <w:pPr>
        <w:pStyle w:val="msolistparagraph0"/>
        <w:numPr>
          <w:ilvl w:val="1"/>
          <w:numId w:val="1"/>
        </w:numPr>
        <w:tabs>
          <w:tab w:val="clear" w:pos="3081"/>
        </w:tabs>
        <w:ind w:left="1080"/>
        <w:rPr>
          <w:rFonts w:ascii="Times New Roman" w:hAnsi="Times New Roman"/>
        </w:rPr>
      </w:pPr>
      <w:r w:rsidRPr="00A40EDC">
        <w:rPr>
          <w:rFonts w:ascii="Times New Roman" w:hAnsi="Times New Roman"/>
        </w:rPr>
        <w:t>Convene Annex 61 under TC 7.6</w:t>
      </w:r>
    </w:p>
    <w:p w:rsidR="00A40EDC" w:rsidRPr="00A40EDC" w:rsidRDefault="00A40EDC" w:rsidP="00A40EDC">
      <w:pPr>
        <w:pStyle w:val="msolistparagraph0"/>
        <w:numPr>
          <w:ilvl w:val="1"/>
          <w:numId w:val="1"/>
        </w:numPr>
        <w:tabs>
          <w:tab w:val="clear" w:pos="3081"/>
        </w:tabs>
        <w:ind w:left="1080"/>
        <w:rPr>
          <w:rFonts w:ascii="Times New Roman" w:hAnsi="Times New Roman"/>
        </w:rPr>
      </w:pPr>
      <w:r w:rsidRPr="00A40EDC">
        <w:rPr>
          <w:rFonts w:ascii="Times New Roman" w:hAnsi="Times New Roman"/>
        </w:rPr>
        <w:t xml:space="preserve">AIA 2030 Challenge – 75 million </w:t>
      </w:r>
      <w:proofErr w:type="spellStart"/>
      <w:r w:rsidRPr="00A40EDC">
        <w:rPr>
          <w:rFonts w:ascii="Times New Roman" w:hAnsi="Times New Roman"/>
        </w:rPr>
        <w:t>sf</w:t>
      </w:r>
      <w:proofErr w:type="spellEnd"/>
      <w:r w:rsidRPr="00A40EDC">
        <w:rPr>
          <w:rFonts w:ascii="Times New Roman" w:hAnsi="Times New Roman"/>
        </w:rPr>
        <w:t xml:space="preserve"> of space under the challenge.</w:t>
      </w:r>
    </w:p>
    <w:sectPr w:rsidR="00A40EDC" w:rsidRPr="00A40EDC" w:rsidSect="003D7D90">
      <w:type w:val="continuous"/>
      <w:pgSz w:w="11920" w:h="16840"/>
      <w:pgMar w:top="820" w:right="15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22AF1"/>
    <w:multiLevelType w:val="hybridMultilevel"/>
    <w:tmpl w:val="FB800308"/>
    <w:lvl w:ilvl="0" w:tplc="9FA4D37C">
      <w:start w:val="1"/>
      <w:numFmt w:val="decimal"/>
      <w:lvlText w:val="%1."/>
      <w:lvlJc w:val="left"/>
      <w:pPr>
        <w:tabs>
          <w:tab w:val="num" w:pos="2721"/>
        </w:tabs>
        <w:ind w:left="2721" w:hanging="720"/>
      </w:pPr>
      <w:rPr>
        <w:rFonts w:hint="default"/>
      </w:rPr>
    </w:lvl>
    <w:lvl w:ilvl="1" w:tplc="04090019">
      <w:start w:val="1"/>
      <w:numFmt w:val="lowerLetter"/>
      <w:lvlText w:val="%2."/>
      <w:lvlJc w:val="left"/>
      <w:pPr>
        <w:tabs>
          <w:tab w:val="num" w:pos="3081"/>
        </w:tabs>
        <w:ind w:left="3081" w:hanging="360"/>
      </w:pPr>
    </w:lvl>
    <w:lvl w:ilvl="2" w:tplc="0409001B">
      <w:start w:val="1"/>
      <w:numFmt w:val="lowerRoman"/>
      <w:lvlText w:val="%3."/>
      <w:lvlJc w:val="right"/>
      <w:pPr>
        <w:tabs>
          <w:tab w:val="num" w:pos="3801"/>
        </w:tabs>
        <w:ind w:left="3801" w:hanging="180"/>
      </w:pPr>
    </w:lvl>
    <w:lvl w:ilvl="3" w:tplc="0409000F" w:tentative="1">
      <w:start w:val="1"/>
      <w:numFmt w:val="decimal"/>
      <w:lvlText w:val="%4."/>
      <w:lvlJc w:val="left"/>
      <w:pPr>
        <w:tabs>
          <w:tab w:val="num" w:pos="4521"/>
        </w:tabs>
        <w:ind w:left="4521" w:hanging="360"/>
      </w:pPr>
    </w:lvl>
    <w:lvl w:ilvl="4" w:tplc="04090019" w:tentative="1">
      <w:start w:val="1"/>
      <w:numFmt w:val="lowerLetter"/>
      <w:lvlText w:val="%5."/>
      <w:lvlJc w:val="left"/>
      <w:pPr>
        <w:tabs>
          <w:tab w:val="num" w:pos="5241"/>
        </w:tabs>
        <w:ind w:left="5241" w:hanging="360"/>
      </w:pPr>
    </w:lvl>
    <w:lvl w:ilvl="5" w:tplc="0409001B" w:tentative="1">
      <w:start w:val="1"/>
      <w:numFmt w:val="lowerRoman"/>
      <w:lvlText w:val="%6."/>
      <w:lvlJc w:val="right"/>
      <w:pPr>
        <w:tabs>
          <w:tab w:val="num" w:pos="5961"/>
        </w:tabs>
        <w:ind w:left="5961" w:hanging="180"/>
      </w:pPr>
    </w:lvl>
    <w:lvl w:ilvl="6" w:tplc="0409000F" w:tentative="1">
      <w:start w:val="1"/>
      <w:numFmt w:val="decimal"/>
      <w:lvlText w:val="%7."/>
      <w:lvlJc w:val="left"/>
      <w:pPr>
        <w:tabs>
          <w:tab w:val="num" w:pos="6681"/>
        </w:tabs>
        <w:ind w:left="6681" w:hanging="360"/>
      </w:pPr>
    </w:lvl>
    <w:lvl w:ilvl="7" w:tplc="04090019" w:tentative="1">
      <w:start w:val="1"/>
      <w:numFmt w:val="lowerLetter"/>
      <w:lvlText w:val="%8."/>
      <w:lvlJc w:val="left"/>
      <w:pPr>
        <w:tabs>
          <w:tab w:val="num" w:pos="7401"/>
        </w:tabs>
        <w:ind w:left="7401" w:hanging="360"/>
      </w:pPr>
    </w:lvl>
    <w:lvl w:ilvl="8" w:tplc="0409001B" w:tentative="1">
      <w:start w:val="1"/>
      <w:numFmt w:val="lowerRoman"/>
      <w:lvlText w:val="%9."/>
      <w:lvlJc w:val="right"/>
      <w:pPr>
        <w:tabs>
          <w:tab w:val="num" w:pos="8121"/>
        </w:tabs>
        <w:ind w:left="81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B9"/>
    <w:rsid w:val="00020CD1"/>
    <w:rsid w:val="00122F9D"/>
    <w:rsid w:val="003D7D90"/>
    <w:rsid w:val="00406E39"/>
    <w:rsid w:val="009E008A"/>
    <w:rsid w:val="00A40EDC"/>
    <w:rsid w:val="00B23452"/>
    <w:rsid w:val="00BC3E12"/>
    <w:rsid w:val="00D732B9"/>
    <w:rsid w:val="00E87F11"/>
    <w:rsid w:val="00F4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D90"/>
    <w:pPr>
      <w:ind w:left="720"/>
      <w:contextualSpacing/>
    </w:pPr>
  </w:style>
  <w:style w:type="character" w:styleId="Hyperlink">
    <w:name w:val="Hyperlink"/>
    <w:rsid w:val="00A40EDC"/>
    <w:rPr>
      <w:color w:val="0000FF"/>
      <w:u w:val="single"/>
    </w:rPr>
  </w:style>
  <w:style w:type="paragraph" w:customStyle="1" w:styleId="msolistparagraph0">
    <w:name w:val="msolistparagraph"/>
    <w:basedOn w:val="Normal"/>
    <w:rsid w:val="00A40EDC"/>
    <w:pPr>
      <w:widowControl/>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D90"/>
    <w:pPr>
      <w:ind w:left="720"/>
      <w:contextualSpacing/>
    </w:pPr>
  </w:style>
  <w:style w:type="character" w:styleId="Hyperlink">
    <w:name w:val="Hyperlink"/>
    <w:rsid w:val="00A40EDC"/>
    <w:rPr>
      <w:color w:val="0000FF"/>
      <w:u w:val="single"/>
    </w:rPr>
  </w:style>
  <w:style w:type="paragraph" w:customStyle="1" w:styleId="msolistparagraph0">
    <w:name w:val="msolistparagraph"/>
    <w:basedOn w:val="Normal"/>
    <w:rsid w:val="00A40EDC"/>
    <w:pPr>
      <w:widowControl/>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nsi.org/news_publications/news_story.aspx?menuid=7&amp;articleid=3622" TargetMode="External"/><Relationship Id="rId3" Type="http://schemas.microsoft.com/office/2007/relationships/stylesWithEffects" Target="stylesWithEffects.xml"/><Relationship Id="rId7" Type="http://schemas.openxmlformats.org/officeDocument/2006/relationships/hyperlink" Target="http://bpie.eu/cost_optimal_methodolog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mcdn.com/sites/www.realpac.ca/resource/resmgr/energy_benchmarking/rpbenchmarkingreportsp05c.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jmm</dc:creator>
  <cp:lastModifiedBy>Dennis Landsberg</cp:lastModifiedBy>
  <cp:revision>3</cp:revision>
  <dcterms:created xsi:type="dcterms:W3CDTF">2013-06-24T22:28:00Z</dcterms:created>
  <dcterms:modified xsi:type="dcterms:W3CDTF">2013-06-24T22:46:00Z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2013-01-28T00:00:00Z</vt:filetime>
  </property>
</Properties>
</file>